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Industrial Network Device Replacement</w:t>
      </w:r>
    </w:p>
    <w:p>
      <w:pPr>
        <w:pStyle w:val="Heading2"/>
      </w:pPr>
      <w:r>
        <w:t>1. Purpose and Scope</w:t>
      </w:r>
    </w:p>
    <w:p>
      <w:r>
        <w:t>Device replacement is the controlled process of removing a failed, obsolete, damaged, or unsuitable network device and installing a compatible replacement while preserving the intended network behavior and industrial communication.</w:t>
      </w:r>
    </w:p>
    <w:p>
      <w:r>
        <w:t>In an industrial automation environment, network device replacement can involve:</w:t>
      </w:r>
    </w:p>
    <w:p>
      <w:pPr>
        <w:pStyle w:val="ListBullet"/>
      </w:pPr>
      <w:r>
        <w:t>Managed and unmanaged Ethernet switches.</w:t>
      </w:r>
    </w:p>
    <w:p>
      <w:pPr>
        <w:pStyle w:val="ListBullet"/>
      </w:pPr>
      <w:r>
        <w:t>Industrial routers and gateways.</w:t>
      </w:r>
    </w:p>
    <w:p>
      <w:pPr>
        <w:pStyle w:val="ListBullet"/>
      </w:pPr>
      <w:r>
        <w:t>Fiber-optic transceivers and media converters.</w:t>
      </w:r>
    </w:p>
    <w:p>
      <w:pPr>
        <w:pStyle w:val="ListBullet"/>
      </w:pPr>
      <w:r>
        <w:t>Network interface cards (NICs).</w:t>
      </w:r>
    </w:p>
    <w:p>
      <w:pPr>
        <w:pStyle w:val="ListBullet"/>
      </w:pPr>
      <w:r>
        <w:t>Industrial Ethernet adapters.</w:t>
      </w:r>
    </w:p>
    <w:p>
      <w:pPr>
        <w:pStyle w:val="ListBullet"/>
      </w:pPr>
      <w:r>
        <w:t>Wireless access points and bridges.</w:t>
      </w:r>
    </w:p>
    <w:p>
      <w:pPr>
        <w:pStyle w:val="ListBullet"/>
      </w:pPr>
      <w:r>
        <w:t>Industrial PCs and communication gateways.</w:t>
      </w:r>
    </w:p>
    <w:p>
      <w:pPr>
        <w:pStyle w:val="ListBullet"/>
      </w:pPr>
      <w:r>
        <w:t>PLC communication modules and remote I/O network adapters.</w:t>
      </w:r>
    </w:p>
    <w:p>
      <w:pPr>
        <w:pStyle w:val="ListBullet"/>
      </w:pPr>
      <w:r>
        <w:t>Serial-to-Ethernet converters.</w:t>
      </w:r>
    </w:p>
    <w:p>
      <w:pPr>
        <w:pStyle w:val="ListBullet"/>
      </w:pPr>
      <w:r>
        <w:t>Network-connected HMI, CNC, and robot interfaces.</w:t>
      </w:r>
    </w:p>
    <w:p>
      <w:r>
        <w:t>The objective is not merely to make the replacement device power on. It must operate correctly within the existing network design, with the intended addressing, VLANs, redundancy, communication protocols, security controls, and application dependencies.</w:t>
      </w:r>
    </w:p>
    <w:p>
      <w:r>
        <w:t>A replacement can have link lights and still be incorrectly configured. Industrial networking has a talent for making incomplete repairs look successful until production resumes.</w:t>
      </w:r>
    </w:p>
    <w:p>
      <w:pPr>
        <w:pStyle w:val="Heading2"/>
      </w:pPr>
      <w:r>
        <w:t>2. Why Network Devices Are Replaced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Reason</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Required consideration</w:t>
            </w:r>
          </w:p>
        </w:tc>
      </w:tr>
      <w:tr>
        <w:tc>
          <w:tcPr>
            <w:tcW w:type="dxa" w:w="3600"/>
          </w:tcPr>
          <w:p>
            <w:pPr>
              <w:spacing w:after="0" w:before="0" w:line="240" w:lineRule="auto"/>
              <w:jc w:val="left"/>
            </w:pPr>
            <w:r>
              <w:t>Hardware failure</w:t>
            </w:r>
          </w:p>
        </w:tc>
        <w:tc>
          <w:tcPr>
            <w:tcW w:type="dxa" w:w="3600"/>
          </w:tcPr>
          <w:p>
            <w:pPr>
              <w:spacing w:after="0" w:before="0" w:line="240" w:lineRule="auto"/>
              <w:jc w:val="left"/>
            </w:pPr>
            <w:r>
              <w:t>Switch port or power supply fails</w:t>
            </w:r>
          </w:p>
        </w:tc>
        <w:tc>
          <w:tcPr>
            <w:tcW w:type="dxa" w:w="3600"/>
          </w:tcPr>
          <w:p>
            <w:pPr>
              <w:spacing w:after="0" w:before="0" w:line="240" w:lineRule="auto"/>
              <w:jc w:val="left"/>
            </w:pPr>
            <w:r>
              <w:t>Confirm the failed component and restore connectivity</w:t>
            </w:r>
          </w:p>
        </w:tc>
      </w:tr>
      <w:tr>
        <w:tc>
          <w:tcPr>
            <w:tcW w:type="dxa" w:w="3600"/>
          </w:tcPr>
          <w:p>
            <w:pPr>
              <w:spacing w:after="0" w:before="0" w:line="240" w:lineRule="auto"/>
              <w:jc w:val="left"/>
            </w:pPr>
            <w:r>
              <w:t>Physical damage</w:t>
            </w:r>
          </w:p>
        </w:tc>
        <w:tc>
          <w:tcPr>
            <w:tcW w:type="dxa" w:w="3600"/>
          </w:tcPr>
          <w:p>
            <w:pPr>
              <w:spacing w:after="0" w:before="0" w:line="240" w:lineRule="auto"/>
              <w:jc w:val="left"/>
            </w:pPr>
            <w:r>
              <w:t>Damaged RJ45 or fiber interface</w:t>
            </w:r>
          </w:p>
        </w:tc>
        <w:tc>
          <w:tcPr>
            <w:tcW w:type="dxa" w:w="3600"/>
          </w:tcPr>
          <w:p>
            <w:pPr>
              <w:spacing w:after="0" w:before="0" w:line="240" w:lineRule="auto"/>
              <w:jc w:val="left"/>
            </w:pPr>
            <w:r>
              <w:t>Verify whether the damage extends to the cable or connected equipment</w:t>
            </w:r>
          </w:p>
        </w:tc>
      </w:tr>
      <w:tr>
        <w:tc>
          <w:tcPr>
            <w:tcW w:type="dxa" w:w="3600"/>
          </w:tcPr>
          <w:p>
            <w:pPr>
              <w:spacing w:after="0" w:before="0" w:line="240" w:lineRule="auto"/>
              <w:jc w:val="left"/>
            </w:pPr>
            <w:r>
              <w:t>Obsolescence</w:t>
            </w:r>
          </w:p>
        </w:tc>
        <w:tc>
          <w:tcPr>
            <w:tcW w:type="dxa" w:w="3600"/>
          </w:tcPr>
          <w:p>
            <w:pPr>
              <w:spacing w:after="0" w:before="0" w:line="240" w:lineRule="auto"/>
              <w:jc w:val="left"/>
            </w:pPr>
            <w:r>
              <w:t>Unsupported switch or transceiver</w:t>
            </w:r>
          </w:p>
        </w:tc>
        <w:tc>
          <w:tcPr>
            <w:tcW w:type="dxa" w:w="3600"/>
          </w:tcPr>
          <w:p>
            <w:pPr>
              <w:spacing w:after="0" w:before="0" w:line="240" w:lineRule="auto"/>
              <w:jc w:val="left"/>
            </w:pPr>
            <w:r>
              <w:t>Check compatibility, lifecycle, and migration requirements</w:t>
            </w:r>
          </w:p>
        </w:tc>
      </w:tr>
      <w:tr>
        <w:tc>
          <w:tcPr>
            <w:tcW w:type="dxa" w:w="3600"/>
          </w:tcPr>
          <w:p>
            <w:pPr>
              <w:spacing w:after="0" w:before="0" w:line="240" w:lineRule="auto"/>
              <w:jc w:val="left"/>
            </w:pPr>
            <w:r>
              <w:t>Intermittent operation</w:t>
            </w:r>
          </w:p>
        </w:tc>
        <w:tc>
          <w:tcPr>
            <w:tcW w:type="dxa" w:w="3600"/>
          </w:tcPr>
          <w:p>
            <w:pPr>
              <w:spacing w:after="0" w:before="0" w:line="240" w:lineRule="auto"/>
              <w:jc w:val="left"/>
            </w:pPr>
            <w:r>
              <w:t>Device repeatedly loses communication</w:t>
            </w:r>
          </w:p>
        </w:tc>
        <w:tc>
          <w:tcPr>
            <w:tcW w:type="dxa" w:w="3600"/>
          </w:tcPr>
          <w:p>
            <w:pPr>
              <w:spacing w:after="0" w:before="0" w:line="240" w:lineRule="auto"/>
              <w:jc w:val="left"/>
            </w:pPr>
            <w:r>
              <w:t>Establish whether the device itself is faulty</w:t>
            </w:r>
          </w:p>
        </w:tc>
      </w:tr>
      <w:tr>
        <w:tc>
          <w:tcPr>
            <w:tcW w:type="dxa" w:w="3600"/>
          </w:tcPr>
          <w:p>
            <w:pPr>
              <w:spacing w:after="0" w:before="0" w:line="240" w:lineRule="auto"/>
              <w:jc w:val="left"/>
            </w:pPr>
            <w:r>
              <w:t>Capacity limitation</w:t>
            </w:r>
          </w:p>
        </w:tc>
        <w:tc>
          <w:tcPr>
            <w:tcW w:type="dxa" w:w="3600"/>
          </w:tcPr>
          <w:p>
            <w:pPr>
              <w:spacing w:after="0" w:before="0" w:line="240" w:lineRule="auto"/>
              <w:jc w:val="left"/>
            </w:pPr>
            <w:r>
              <w:t>Insufficient port count or bandwidth</w:t>
            </w:r>
          </w:p>
        </w:tc>
        <w:tc>
          <w:tcPr>
            <w:tcW w:type="dxa" w:w="3600"/>
          </w:tcPr>
          <w:p>
            <w:pPr>
              <w:spacing w:after="0" w:before="0" w:line="240" w:lineRule="auto"/>
              <w:jc w:val="left"/>
            </w:pPr>
            <w:r>
              <w:t>Verify traffic requirements and network architecture</w:t>
            </w:r>
          </w:p>
        </w:tc>
      </w:tr>
      <w:tr>
        <w:tc>
          <w:tcPr>
            <w:tcW w:type="dxa" w:w="3600"/>
          </w:tcPr>
          <w:p>
            <w:pPr>
              <w:spacing w:after="0" w:before="0" w:line="240" w:lineRule="auto"/>
              <w:jc w:val="left"/>
            </w:pPr>
            <w:r>
              <w:t>Environmental damage</w:t>
            </w:r>
          </w:p>
        </w:tc>
        <w:tc>
          <w:tcPr>
            <w:tcW w:type="dxa" w:w="3600"/>
          </w:tcPr>
          <w:p>
            <w:pPr>
              <w:spacing w:after="0" w:before="0" w:line="240" w:lineRule="auto"/>
              <w:jc w:val="left"/>
            </w:pPr>
            <w:r>
              <w:t>Heat, vibration, moisture, or contamination</w:t>
            </w:r>
          </w:p>
        </w:tc>
        <w:tc>
          <w:tcPr>
            <w:tcW w:type="dxa" w:w="3600"/>
          </w:tcPr>
          <w:p>
            <w:pPr>
              <w:spacing w:after="0" w:before="0" w:line="240" w:lineRule="auto"/>
              <w:jc w:val="left"/>
            </w:pPr>
            <w:r>
              <w:t>Correct the underlying environmental cause</w:t>
            </w:r>
          </w:p>
        </w:tc>
      </w:tr>
      <w:tr>
        <w:tc>
          <w:tcPr>
            <w:tcW w:type="dxa" w:w="3600"/>
          </w:tcPr>
          <w:p>
            <w:pPr>
              <w:spacing w:after="0" w:before="0" w:line="240" w:lineRule="auto"/>
              <w:jc w:val="left"/>
            </w:pPr>
            <w:r>
              <w:t>Cybersecurity requirement</w:t>
            </w:r>
          </w:p>
        </w:tc>
        <w:tc>
          <w:tcPr>
            <w:tcW w:type="dxa" w:w="3600"/>
          </w:tcPr>
          <w:p>
            <w:pPr>
              <w:spacing w:after="0" w:before="0" w:line="240" w:lineRule="auto"/>
              <w:jc w:val="left"/>
            </w:pPr>
            <w:r>
              <w:t>Device no longer meets security requirements</w:t>
            </w:r>
          </w:p>
        </w:tc>
        <w:tc>
          <w:tcPr>
            <w:tcW w:type="dxa" w:w="3600"/>
          </w:tcPr>
          <w:p>
            <w:pPr>
              <w:spacing w:after="0" w:before="0" w:line="240" w:lineRule="auto"/>
              <w:jc w:val="left"/>
            </w:pPr>
            <w:r>
              <w:t>Verify approved features, firmware, and configuration</w:t>
            </w:r>
          </w:p>
        </w:tc>
      </w:tr>
      <w:tr>
        <w:tc>
          <w:tcPr>
            <w:tcW w:type="dxa" w:w="3600"/>
          </w:tcPr>
          <w:p>
            <w:pPr>
              <w:spacing w:after="0" w:before="0" w:line="240" w:lineRule="auto"/>
              <w:jc w:val="left"/>
            </w:pPr>
            <w:r>
              <w:t>Standardization</w:t>
            </w:r>
          </w:p>
        </w:tc>
        <w:tc>
          <w:tcPr>
            <w:tcW w:type="dxa" w:w="3600"/>
          </w:tcPr>
          <w:p>
            <w:pPr>
              <w:spacing w:after="0" w:before="0" w:line="240" w:lineRule="auto"/>
              <w:jc w:val="left"/>
            </w:pPr>
            <w:r>
              <w:t>Replacement with an approved plant model</w:t>
            </w:r>
          </w:p>
        </w:tc>
        <w:tc>
          <w:tcPr>
            <w:tcW w:type="dxa" w:w="3600"/>
          </w:tcPr>
          <w:p>
            <w:pPr>
              <w:spacing w:after="0" w:before="0" w:line="240" w:lineRule="auto"/>
              <w:jc w:val="left"/>
            </w:pPr>
            <w:r>
              <w:t>Confirm that required features and protocols remain supported</w:t>
            </w:r>
          </w:p>
        </w:tc>
      </w:tr>
    </w:tbl>
    <w:p/>
    <w:p>
      <w:r>
        <w:t>Important: A symptom is not proof of device failure. Before replacement, distinguish a faulty device from a damaged cable, incorrect IP address, VLAN mismatch, power issue, firmware incompatibility, or network configuration error.</w:t>
      </w:r>
    </w:p>
    <w:p>
      <w:pPr>
        <w:pStyle w:val="Heading2"/>
      </w:pPr>
      <w:r>
        <w:t>3. Device Replacement Categories</w:t>
      </w:r>
    </w:p>
    <w:p>
      <w:pPr>
        <w:pStyle w:val="Heading3"/>
      </w:pPr>
      <w:r>
        <w:t>3.1 Like-for-like replacement</w:t>
      </w:r>
    </w:p>
    <w:p>
      <w:r>
        <w:t>The replacement uses the same manufacturer and model, with equivalent hardware and supported firmware.</w:t>
      </w:r>
    </w:p>
    <w:p>
      <w:r>
        <w:t>Advantages:</w:t>
      </w:r>
    </w:p>
    <w:p>
      <w:pPr>
        <w:pStyle w:val="ListBullet"/>
      </w:pPr>
      <w:r>
        <w:t>Usually reduces configuration differences.</w:t>
      </w:r>
    </w:p>
    <w:p>
      <w:pPr>
        <w:pStyle w:val="ListBullet"/>
      </w:pPr>
      <w:r>
        <w:t>May simplify mounting and cabling.</w:t>
      </w:r>
    </w:p>
    <w:p>
      <w:pPr>
        <w:pStyle w:val="ListBullet"/>
      </w:pPr>
      <w:r>
        <w:t>May support reuse of an existing configuration, subject to compatibility.</w:t>
      </w:r>
    </w:p>
    <w:p>
      <w:r>
        <w:t>Risks:</w:t>
      </w:r>
    </w:p>
    <w:p>
      <w:pPr>
        <w:pStyle w:val="ListBullet"/>
      </w:pPr>
      <w:r>
        <w:t>The replacement may have a different hardware revision.</w:t>
      </w:r>
    </w:p>
    <w:p>
      <w:pPr>
        <w:pStyle w:val="ListBullet"/>
      </w:pPr>
      <w:r>
        <w:t>Firmware or feature licenses may differ.</w:t>
      </w:r>
    </w:p>
    <w:p>
      <w:pPr>
        <w:pStyle w:val="ListBullet"/>
      </w:pPr>
      <w:r>
        <w:t>The saved configuration may not be portable to the replacement unit.</w:t>
      </w:r>
    </w:p>
    <w:p>
      <w:pPr>
        <w:pStyle w:val="ListBullet"/>
      </w:pPr>
      <w:r>
        <w:t>A used spare may retain an unknown configuration.</w:t>
      </w:r>
    </w:p>
    <w:p>
      <w:pPr>
        <w:pStyle w:val="Heading3"/>
      </w:pPr>
      <w:r>
        <w:t>3.2 Equivalent-model replacement</w:t>
      </w:r>
    </w:p>
    <w:p>
      <w:r>
        <w:t>A different model is selected because the original is unavailable or obsolete.</w:t>
      </w:r>
    </w:p>
    <w:p>
      <w:r>
        <w:t>Compatibility checks become more important. Similar appearance, port count, or advertised speed does not guarantee equivalent behavior.</w:t>
      </w:r>
    </w:p>
    <w:p>
      <w:pPr>
        <w:pStyle w:val="Heading3"/>
      </w:pPr>
      <w:r>
        <w:t>3.3 Technology migration</w:t>
      </w:r>
    </w:p>
    <w:p>
      <w:r>
        <w:t>The replacement changes the technology or network architecture, such as:</w:t>
      </w:r>
    </w:p>
    <w:p>
      <w:pPr>
        <w:pStyle w:val="ListBullet"/>
      </w:pPr>
      <w:r>
        <w:t>Unmanaged switch to managed switch.</w:t>
      </w:r>
    </w:p>
    <w:p>
      <w:pPr>
        <w:pStyle w:val="ListBullet"/>
      </w:pPr>
      <w:r>
        <w:t>Copper uplink to fiber.</w:t>
      </w:r>
    </w:p>
    <w:p>
      <w:pPr>
        <w:pStyle w:val="ListBullet"/>
      </w:pPr>
      <w:r>
        <w:t>Legacy media converter to an integrated optical switch.</w:t>
      </w:r>
    </w:p>
    <w:p>
      <w:pPr>
        <w:pStyle w:val="ListBullet"/>
      </w:pPr>
      <w:r>
        <w:t>Unsupported gateway to a supported industrial gateway.</w:t>
      </w:r>
    </w:p>
    <w:p>
      <w:pPr>
        <w:pStyle w:val="ListBullet"/>
      </w:pPr>
      <w:r>
        <w:t>Older network adapter to a newer interface with different driver requirements.</w:t>
      </w:r>
    </w:p>
    <w:p>
      <w:r>
        <w:t>This may require engineering changes, validation, documentation updates, and a formal migration plan rather than a simple maintenance exchange.</w:t>
      </w:r>
    </w:p>
    <w:p>
      <w:pPr>
        <w:pStyle w:val="Heading2"/>
      </w:pPr>
      <w:r>
        <w:t>4. Pre-Replacement Assessment</w:t>
      </w:r>
    </w:p>
    <w:p>
      <w:r>
        <w:t>Before removing the existing device, collect enough information to reproduce its intended role.</w:t>
      </w:r>
    </w:p>
    <w:p>
      <w:pPr>
        <w:pStyle w:val="Heading3"/>
      </w:pPr>
      <w:r>
        <w:t>4.1 Identify the device</w:t>
      </w:r>
    </w:p>
    <w:p>
      <w:r>
        <w:t>Record:</w:t>
      </w:r>
    </w:p>
    <w:p>
      <w:pPr>
        <w:pStyle w:val="ListBullet"/>
      </w:pPr>
      <w:r>
        <w:t>Equipment tag and location.</w:t>
      </w:r>
    </w:p>
    <w:p>
      <w:pPr>
        <w:pStyle w:val="ListBullet"/>
      </w:pPr>
      <w:r>
        <w:t>Manufacturer and exact model.</w:t>
      </w:r>
    </w:p>
    <w:p>
      <w:pPr>
        <w:pStyle w:val="ListBullet"/>
      </w:pPr>
      <w:r>
        <w:t>Part number and hardware revision.</w:t>
      </w:r>
    </w:p>
    <w:p>
      <w:pPr>
        <w:pStyle w:val="ListBullet"/>
      </w:pPr>
      <w:r>
        <w:t>Serial number.</w:t>
      </w:r>
    </w:p>
    <w:p>
      <w:pPr>
        <w:pStyle w:val="ListBullet"/>
      </w:pPr>
      <w:r>
        <w:t>Firmware or software version.</w:t>
      </w:r>
    </w:p>
    <w:p>
      <w:pPr>
        <w:pStyle w:val="ListBullet"/>
      </w:pPr>
      <w:r>
        <w:t>Power supply requirements.</w:t>
      </w:r>
    </w:p>
    <w:p>
      <w:pPr>
        <w:pStyle w:val="ListBullet"/>
      </w:pPr>
      <w:r>
        <w:t>Port count and port types.</w:t>
      </w:r>
    </w:p>
    <w:p>
      <w:pPr>
        <w:pStyle w:val="ListBullet"/>
      </w:pPr>
      <w:r>
        <w:t>Copper or fiber interface specifications.</w:t>
      </w:r>
    </w:p>
    <w:p>
      <w:pPr>
        <w:pStyle w:val="ListBullet"/>
      </w:pPr>
      <w:r>
        <w:t>Installed transceivers.</w:t>
      </w:r>
    </w:p>
    <w:p>
      <w:pPr>
        <w:pStyle w:val="ListBullet"/>
      </w:pPr>
      <w:r>
        <w:t>License requirements, where applicable.</w:t>
      </w:r>
    </w:p>
    <w:p>
      <w:pPr>
        <w:pStyle w:val="ListBullet"/>
      </w:pPr>
      <w:r>
        <w:t>Current alarm and fault indications.</w:t>
      </w:r>
    </w:p>
    <w:p>
      <w:r>
        <w:t>For a switch, also record whether it is an access switch, distribution switch, backbone switch, or part of a redundant ring.</w:t>
      </w:r>
    </w:p>
    <w:p>
      <w:pPr>
        <w:pStyle w:val="Heading3"/>
      </w:pPr>
      <w:r>
        <w:t>4.2 Identify network dependencies</w:t>
      </w:r>
    </w:p>
    <w:p>
      <w:r>
        <w:t>Determine what the device connects to and which services depend on it.</w:t>
      </w:r>
    </w:p>
    <w:p>
      <w:r>
        <w:t>Typical dependencies include:</w:t>
      </w:r>
    </w:p>
    <w:p>
      <w:pPr>
        <w:pStyle w:val="ListBullet"/>
      </w:pPr>
      <w:r>
        <w:t>PLC and remote I/O communication.</w:t>
      </w:r>
    </w:p>
    <w:p>
      <w:pPr>
        <w:pStyle w:val="ListBullet"/>
      </w:pPr>
      <w:r>
        <w:t>HMI and SCADA connections.</w:t>
      </w:r>
    </w:p>
    <w:p>
      <w:pPr>
        <w:pStyle w:val="ListBullet"/>
      </w:pPr>
      <w:r>
        <w:t>Robot and CNC interfaces.</w:t>
      </w:r>
    </w:p>
    <w:p>
      <w:pPr>
        <w:pStyle w:val="ListBullet"/>
      </w:pPr>
      <w:r>
        <w:t>Engineering workstations.</w:t>
      </w:r>
    </w:p>
    <w:p>
      <w:pPr>
        <w:pStyle w:val="ListBullet"/>
      </w:pPr>
      <w:r>
        <w:t>VLANs and trunk links.</w:t>
      </w:r>
    </w:p>
    <w:p>
      <w:pPr>
        <w:pStyle w:val="ListBullet"/>
      </w:pPr>
      <w:r>
        <w:t>DHCP, DNS, and routing.</w:t>
      </w:r>
    </w:p>
    <w:p>
      <w:pPr>
        <w:pStyle w:val="ListBullet"/>
      </w:pPr>
      <w:r>
        <w:t>Network redundancy protocols.</w:t>
      </w:r>
    </w:p>
    <w:p>
      <w:pPr>
        <w:pStyle w:val="ListBullet"/>
      </w:pPr>
      <w:r>
        <w:t>Time synchronization.</w:t>
      </w:r>
    </w:p>
    <w:p>
      <w:pPr>
        <w:pStyle w:val="ListBullet"/>
      </w:pPr>
      <w:r>
        <w:t>Multicast and IGMP snooping.</w:t>
      </w:r>
    </w:p>
    <w:p>
      <w:pPr>
        <w:pStyle w:val="ListBullet"/>
      </w:pPr>
      <w:r>
        <w:t>QoS and traffic prioritization.</w:t>
      </w:r>
    </w:p>
    <w:p>
      <w:pPr>
        <w:pStyle w:val="ListBullet"/>
      </w:pPr>
      <w:r>
        <w:t>SNMP monitoring and alarm reporting.</w:t>
      </w:r>
    </w:p>
    <w:p>
      <w:pPr>
        <w:pStyle w:val="ListBullet"/>
      </w:pPr>
      <w:r>
        <w:t>Access control and cybersecurity settings.</w:t>
      </w:r>
    </w:p>
    <w:p>
      <w:pPr>
        <w:pStyle w:val="Heading3"/>
      </w:pPr>
      <w:r>
        <w:t>4.3 Assess operational impact</w:t>
      </w:r>
    </w:p>
    <w:p>
      <w:r>
        <w:t>Establish:</w:t>
      </w:r>
    </w:p>
    <w:p>
      <w:pPr>
        <w:pStyle w:val="ListBullet"/>
      </w:pPr>
      <w:r>
        <w:t>Which machines or production areas will lose connectivity.</w:t>
      </w:r>
    </w:p>
    <w:p>
      <w:pPr>
        <w:pStyle w:val="ListBullet"/>
      </w:pPr>
      <w:r>
        <w:t>Whether the device is a single point of failure.</w:t>
      </w:r>
    </w:p>
    <w:p>
      <w:pPr>
        <w:pStyle w:val="ListBullet"/>
      </w:pPr>
      <w:r>
        <w:t>Whether redundant paths are available and healthy.</w:t>
      </w:r>
    </w:p>
    <w:p>
      <w:pPr>
        <w:pStyle w:val="ListBullet"/>
      </w:pPr>
      <w:r>
        <w:t>Whether a planned production window is required.</w:t>
      </w:r>
    </w:p>
    <w:p>
      <w:pPr>
        <w:pStyle w:val="ListBullet"/>
      </w:pPr>
      <w:r>
        <w:t>Whether the replacement could affect safety-related communication.</w:t>
      </w:r>
    </w:p>
    <w:p>
      <w:pPr>
        <w:pStyle w:val="ListBullet"/>
      </w:pPr>
      <w:r>
        <w:t>Who must authorize and validate the work.</w:t>
      </w:r>
    </w:p>
    <w:p>
      <w:r>
        <w:t>Do not assume redundancy eliminates production risk. A redundant path may be misconfigured, degraded, or unable to carry the full required load.</w:t>
      </w:r>
    </w:p>
    <w:p>
      <w:pPr>
        <w:pStyle w:val="Heading2"/>
      </w:pPr>
      <w:r>
        <w:t>5. Compatibility Verification</w:t>
      </w:r>
    </w:p>
    <w:p>
      <w:r>
        <w:t>Compatibility must be checked across physical, electrical, protocol, configuration, and operational layers.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Compatibility area</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Example failure</w:t>
            </w:r>
          </w:p>
        </w:tc>
      </w:tr>
      <w:tr>
        <w:tc>
          <w:tcPr>
            <w:tcW w:type="dxa" w:w="3600"/>
          </w:tcPr>
          <w:p>
            <w:pPr>
              <w:spacing w:after="0" w:before="0" w:line="240" w:lineRule="auto"/>
              <w:jc w:val="left"/>
            </w:pPr>
            <w:r>
              <w:t>Physical mounting</w:t>
            </w:r>
          </w:p>
        </w:tc>
        <w:tc>
          <w:tcPr>
            <w:tcW w:type="dxa" w:w="3600"/>
          </w:tcPr>
          <w:p>
            <w:pPr>
              <w:spacing w:after="0" w:before="0" w:line="240" w:lineRule="auto"/>
              <w:jc w:val="left"/>
            </w:pPr>
            <w:r>
              <w:t>Dimensions, DIN rail, cabinet clearance</w:t>
            </w:r>
          </w:p>
        </w:tc>
        <w:tc>
          <w:tcPr>
            <w:tcW w:type="dxa" w:w="3600"/>
          </w:tcPr>
          <w:p>
            <w:pPr>
              <w:spacing w:after="0" w:before="0" w:line="240" w:lineRule="auto"/>
              <w:jc w:val="left"/>
            </w:pPr>
            <w:r>
              <w:t>Replacement cannot be mounted correctly</w:t>
            </w:r>
          </w:p>
        </w:tc>
      </w:tr>
      <w:tr>
        <w:tc>
          <w:tcPr>
            <w:tcW w:type="dxa" w:w="3600"/>
          </w:tcPr>
          <w:p>
            <w:pPr>
              <w:spacing w:after="0" w:before="0" w:line="240" w:lineRule="auto"/>
              <w:jc w:val="left"/>
            </w:pPr>
            <w:r>
              <w:t>Power</w:t>
            </w:r>
          </w:p>
        </w:tc>
        <w:tc>
          <w:tcPr>
            <w:tcW w:type="dxa" w:w="3600"/>
          </w:tcPr>
          <w:p>
            <w:pPr>
              <w:spacing w:after="0" w:before="0" w:line="240" w:lineRule="auto"/>
              <w:jc w:val="left"/>
            </w:pPr>
            <w:r>
              <w:t>Voltage, polarity, current, connector, redundancy</w:t>
            </w:r>
          </w:p>
        </w:tc>
        <w:tc>
          <w:tcPr>
            <w:tcW w:type="dxa" w:w="3600"/>
          </w:tcPr>
          <w:p>
            <w:pPr>
              <w:spacing w:after="0" w:before="0" w:line="240" w:lineRule="auto"/>
              <w:jc w:val="left"/>
            </w:pPr>
            <w:r>
              <w:t>Device fails to start or is damaged</w:t>
            </w:r>
          </w:p>
        </w:tc>
      </w:tr>
      <w:tr>
        <w:tc>
          <w:tcPr>
            <w:tcW w:type="dxa" w:w="3600"/>
          </w:tcPr>
          <w:p>
            <w:pPr>
              <w:spacing w:after="0" w:before="0" w:line="240" w:lineRule="auto"/>
              <w:jc w:val="left"/>
            </w:pPr>
            <w:r>
              <w:t>Ethernet interfaces</w:t>
            </w:r>
          </w:p>
        </w:tc>
        <w:tc>
          <w:tcPr>
            <w:tcW w:type="dxa" w:w="3600"/>
          </w:tcPr>
          <w:p>
            <w:pPr>
              <w:spacing w:after="0" w:before="0" w:line="240" w:lineRule="auto"/>
              <w:jc w:val="left"/>
            </w:pPr>
            <w:r>
              <w:t>Port type, speed, duplex support</w:t>
            </w:r>
          </w:p>
        </w:tc>
        <w:tc>
          <w:tcPr>
            <w:tcW w:type="dxa" w:w="3600"/>
          </w:tcPr>
          <w:p>
            <w:pPr>
              <w:spacing w:after="0" w:before="0" w:line="240" w:lineRule="auto"/>
              <w:jc w:val="left"/>
            </w:pPr>
            <w:r>
              <w:t>Link fails or negotiates at an unexpected speed</w:t>
            </w:r>
          </w:p>
        </w:tc>
      </w:tr>
      <w:tr>
        <w:tc>
          <w:tcPr>
            <w:tcW w:type="dxa" w:w="3600"/>
          </w:tcPr>
          <w:p>
            <w:pPr>
              <w:spacing w:after="0" w:before="0" w:line="240" w:lineRule="auto"/>
              <w:jc w:val="left"/>
            </w:pPr>
            <w:r>
              <w:t>Fiber optics</w:t>
            </w:r>
          </w:p>
        </w:tc>
        <w:tc>
          <w:tcPr>
            <w:tcW w:type="dxa" w:w="3600"/>
          </w:tcPr>
          <w:p>
            <w:pPr>
              <w:spacing w:after="0" w:before="0" w:line="240" w:lineRule="auto"/>
              <w:jc w:val="left"/>
            </w:pPr>
            <w:r>
              <w:t>Fiber mode, wavelength, connector, optical budget</w:t>
            </w:r>
          </w:p>
        </w:tc>
        <w:tc>
          <w:tcPr>
            <w:tcW w:type="dxa" w:w="3600"/>
          </w:tcPr>
          <w:p>
            <w:pPr>
              <w:spacing w:after="0" w:before="0" w:line="240" w:lineRule="auto"/>
              <w:jc w:val="left"/>
            </w:pPr>
            <w:r>
              <w:t>Fiber link remains down</w:t>
            </w:r>
          </w:p>
        </w:tc>
      </w:tr>
      <w:tr>
        <w:tc>
          <w:tcPr>
            <w:tcW w:type="dxa" w:w="3600"/>
          </w:tcPr>
          <w:p>
            <w:pPr>
              <w:spacing w:after="0" w:before="0" w:line="240" w:lineRule="auto"/>
              <w:jc w:val="left"/>
            </w:pPr>
            <w:r>
              <w:t>VLANs</w:t>
            </w:r>
          </w:p>
        </w:tc>
        <w:tc>
          <w:tcPr>
            <w:tcW w:type="dxa" w:w="3600"/>
          </w:tcPr>
          <w:p>
            <w:pPr>
              <w:spacing w:after="0" w:before="0" w:line="240" w:lineRule="auto"/>
              <w:jc w:val="left"/>
            </w:pPr>
            <w:r>
              <w:t>VLAN IDs, access ports, trunk configuration</w:t>
            </w:r>
          </w:p>
        </w:tc>
        <w:tc>
          <w:tcPr>
            <w:tcW w:type="dxa" w:w="3600"/>
          </w:tcPr>
          <w:p>
            <w:pPr>
              <w:spacing w:after="0" w:before="0" w:line="240" w:lineRule="auto"/>
              <w:jc w:val="left"/>
            </w:pPr>
            <w:r>
              <w:t>Devices become unreachable</w:t>
            </w:r>
          </w:p>
        </w:tc>
      </w:tr>
      <w:tr>
        <w:tc>
          <w:tcPr>
            <w:tcW w:type="dxa" w:w="3600"/>
          </w:tcPr>
          <w:p>
            <w:pPr>
              <w:spacing w:after="0" w:before="0" w:line="240" w:lineRule="auto"/>
              <w:jc w:val="left"/>
            </w:pPr>
            <w:r>
              <w:t>Redundancy</w:t>
            </w:r>
          </w:p>
        </w:tc>
        <w:tc>
          <w:tcPr>
            <w:tcW w:type="dxa" w:w="3600"/>
          </w:tcPr>
          <w:p>
            <w:pPr>
              <w:spacing w:after="0" w:before="0" w:line="240" w:lineRule="auto"/>
              <w:jc w:val="left"/>
            </w:pPr>
            <w:r>
              <w:t>Supported protocol and topology</w:t>
            </w:r>
          </w:p>
        </w:tc>
        <w:tc>
          <w:tcPr>
            <w:tcW w:type="dxa" w:w="3600"/>
          </w:tcPr>
          <w:p>
            <w:pPr>
              <w:spacing w:after="0" w:before="0" w:line="240" w:lineRule="auto"/>
              <w:jc w:val="left"/>
            </w:pPr>
            <w:r>
              <w:t>Ring or failover behavior is disrupted</w:t>
            </w:r>
          </w:p>
        </w:tc>
      </w:tr>
      <w:tr>
        <w:tc>
          <w:tcPr>
            <w:tcW w:type="dxa" w:w="3600"/>
          </w:tcPr>
          <w:p>
            <w:pPr>
              <w:spacing w:after="0" w:before="0" w:line="240" w:lineRule="auto"/>
              <w:jc w:val="left"/>
            </w:pPr>
            <w:r>
              <w:t>Management</w:t>
            </w:r>
          </w:p>
        </w:tc>
        <w:tc>
          <w:tcPr>
            <w:tcW w:type="dxa" w:w="3600"/>
          </w:tcPr>
          <w:p>
            <w:pPr>
              <w:spacing w:after="0" w:before="0" w:line="240" w:lineRule="auto"/>
              <w:jc w:val="left"/>
            </w:pPr>
            <w:r>
              <w:t>CLI, web interface, access method</w:t>
            </w:r>
          </w:p>
        </w:tc>
        <w:tc>
          <w:tcPr>
            <w:tcW w:type="dxa" w:w="3600"/>
          </w:tcPr>
          <w:p>
            <w:pPr>
              <w:spacing w:after="0" w:before="0" w:line="240" w:lineRule="auto"/>
              <w:jc w:val="left"/>
            </w:pPr>
            <w:r>
              <w:t>Configuration cannot be restored as expected</w:t>
            </w:r>
          </w:p>
        </w:tc>
      </w:tr>
      <w:tr>
        <w:tc>
          <w:tcPr>
            <w:tcW w:type="dxa" w:w="3600"/>
          </w:tcPr>
          <w:p>
            <w:pPr>
              <w:spacing w:after="0" w:before="0" w:line="240" w:lineRule="auto"/>
              <w:jc w:val="left"/>
            </w:pPr>
            <w:r>
              <w:t>Firmware</w:t>
            </w:r>
          </w:p>
        </w:tc>
        <w:tc>
          <w:tcPr>
            <w:tcW w:type="dxa" w:w="3600"/>
          </w:tcPr>
          <w:p>
            <w:pPr>
              <w:spacing w:after="0" w:before="0" w:line="240" w:lineRule="auto"/>
              <w:jc w:val="left"/>
            </w:pPr>
            <w:r>
              <w:t>Hardware and firmware compatibility</w:t>
            </w:r>
          </w:p>
        </w:tc>
        <w:tc>
          <w:tcPr>
            <w:tcW w:type="dxa" w:w="3600"/>
          </w:tcPr>
          <w:p>
            <w:pPr>
              <w:spacing w:after="0" w:before="0" w:line="240" w:lineRule="auto"/>
              <w:jc w:val="left"/>
            </w:pPr>
            <w:r>
              <w:t>Configuration import fails or features differ</w:t>
            </w:r>
          </w:p>
        </w:tc>
      </w:tr>
      <w:tr>
        <w:tc>
          <w:tcPr>
            <w:tcW w:type="dxa" w:w="3600"/>
          </w:tcPr>
          <w:p>
            <w:pPr>
              <w:spacing w:after="0" w:before="0" w:line="240" w:lineRule="auto"/>
              <w:jc w:val="left"/>
            </w:pPr>
            <w:r>
              <w:t>Security</w:t>
            </w:r>
          </w:p>
        </w:tc>
        <w:tc>
          <w:tcPr>
            <w:tcW w:type="dxa" w:w="3600"/>
          </w:tcPr>
          <w:p>
            <w:pPr>
              <w:spacing w:after="0" w:before="0" w:line="240" w:lineRule="auto"/>
              <w:jc w:val="left"/>
            </w:pPr>
            <w:r>
              <w:t>Authentication, access control, supported security features</w:t>
            </w:r>
          </w:p>
        </w:tc>
        <w:tc>
          <w:tcPr>
            <w:tcW w:type="dxa" w:w="3600"/>
          </w:tcPr>
          <w:p>
            <w:pPr>
              <w:spacing w:after="0" w:before="0" w:line="240" w:lineRule="auto"/>
              <w:jc w:val="left"/>
            </w:pPr>
            <w:r>
              <w:t>Unauthorized access or loss of management</w:t>
            </w:r>
          </w:p>
        </w:tc>
      </w:tr>
      <w:tr>
        <w:tc>
          <w:tcPr>
            <w:tcW w:type="dxa" w:w="3600"/>
          </w:tcPr>
          <w:p>
            <w:pPr>
              <w:spacing w:after="0" w:before="0" w:line="240" w:lineRule="auto"/>
              <w:jc w:val="left"/>
            </w:pPr>
            <w:r>
              <w:t>Monitoring</w:t>
            </w:r>
          </w:p>
        </w:tc>
        <w:tc>
          <w:tcPr>
            <w:tcW w:type="dxa" w:w="3600"/>
          </w:tcPr>
          <w:p>
            <w:pPr>
              <w:spacing w:after="0" w:before="0" w:line="240" w:lineRule="auto"/>
              <w:jc w:val="left"/>
            </w:pPr>
            <w:r>
              <w:t>SNMP, syslog, alarms, monitoring integration</w:t>
            </w:r>
          </w:p>
        </w:tc>
        <w:tc>
          <w:tcPr>
            <w:tcW w:type="dxa" w:w="3600"/>
          </w:tcPr>
          <w:p>
            <w:pPr>
              <w:spacing w:after="0" w:before="0" w:line="240" w:lineRule="auto"/>
              <w:jc w:val="left"/>
            </w:pPr>
            <w:r>
              <w:t>Device operates but is no longer monitored</w:t>
            </w:r>
          </w:p>
        </w:tc>
      </w:tr>
      <w:tr>
        <w:tc>
          <w:tcPr>
            <w:tcW w:type="dxa" w:w="3600"/>
          </w:tcPr>
          <w:p>
            <w:pPr>
              <w:spacing w:after="0" w:before="0" w:line="240" w:lineRule="auto"/>
              <w:jc w:val="left"/>
            </w:pPr>
            <w:r>
              <w:t>Environment</w:t>
            </w:r>
          </w:p>
        </w:tc>
        <w:tc>
          <w:tcPr>
            <w:tcW w:type="dxa" w:w="3600"/>
          </w:tcPr>
          <w:p>
            <w:pPr>
              <w:spacing w:after="0" w:before="0" w:line="240" w:lineRule="auto"/>
              <w:jc w:val="left"/>
            </w:pPr>
            <w:r>
              <w:t>Temperature, vibration, ingress protection</w:t>
            </w:r>
          </w:p>
        </w:tc>
        <w:tc>
          <w:tcPr>
            <w:tcW w:type="dxa" w:w="3600"/>
          </w:tcPr>
          <w:p>
            <w:pPr>
              <w:spacing w:after="0" w:before="0" w:line="240" w:lineRule="auto"/>
              <w:jc w:val="left"/>
            </w:pPr>
            <w:r>
              <w:t>Premature failure</w:t>
            </w:r>
          </w:p>
        </w:tc>
      </w:tr>
      <w:tr>
        <w:tc>
          <w:tcPr>
            <w:tcW w:type="dxa" w:w="3600"/>
          </w:tcPr>
          <w:p>
            <w:pPr>
              <w:spacing w:after="0" w:before="0" w:line="240" w:lineRule="auto"/>
              <w:jc w:val="left"/>
            </w:pPr>
            <w:r>
              <w:t>Approvals</w:t>
            </w:r>
          </w:p>
        </w:tc>
        <w:tc>
          <w:tcPr>
            <w:tcW w:type="dxa" w:w="3600"/>
          </w:tcPr>
          <w:p>
            <w:pPr>
              <w:spacing w:after="0" w:before="0" w:line="240" w:lineRule="auto"/>
              <w:jc w:val="left"/>
            </w:pPr>
            <w:r>
              <w:t>Plant standards and required certifications</w:t>
            </w:r>
          </w:p>
        </w:tc>
        <w:tc>
          <w:tcPr>
            <w:tcW w:type="dxa" w:w="3600"/>
          </w:tcPr>
          <w:p>
            <w:pPr>
              <w:spacing w:after="0" w:before="0" w:line="240" w:lineRule="auto"/>
              <w:jc w:val="left"/>
            </w:pPr>
            <w:r>
              <w:t>Replacement cannot be approved for use</w:t>
            </w:r>
          </w:p>
        </w:tc>
      </w:tr>
    </w:tbl>
    <w:p/>
    <w:p>
      <w:pPr>
        <w:pStyle w:val="Heading3"/>
      </w:pPr>
      <w:r>
        <w:t>5.1 Port compatibility</w:t>
      </w:r>
    </w:p>
    <w:p>
      <w:r>
        <w:t>Compare more than the number of ports. Check:</w:t>
      </w:r>
    </w:p>
    <w:p>
      <w:pPr>
        <w:pStyle w:val="ListBullet"/>
      </w:pPr>
      <w:r>
        <w:t>Number of copper and fiber interfaces.</w:t>
      </w:r>
    </w:p>
    <w:p>
      <w:pPr>
        <w:pStyle w:val="ListBullet"/>
      </w:pPr>
      <w:r>
        <w:t>Supported speeds, such as 100 Mbps, 1 Gbps, or higher.</w:t>
      </w:r>
    </w:p>
    <w:p>
      <w:pPr>
        <w:pStyle w:val="ListBullet"/>
      </w:pPr>
      <w:r>
        <w:t>Auto-negotiation behavior.</w:t>
      </w:r>
    </w:p>
    <w:p>
      <w:pPr>
        <w:pStyle w:val="ListBullet"/>
      </w:pPr>
      <w:r>
        <w:t>MDI/MDIX support where relevant.</w:t>
      </w:r>
    </w:p>
    <w:p>
      <w:pPr>
        <w:pStyle w:val="ListBullet"/>
      </w:pPr>
      <w:r>
        <w:t>SFP or SFP+ support.</w:t>
      </w:r>
    </w:p>
    <w:p>
      <w:pPr>
        <w:pStyle w:val="ListBullet"/>
      </w:pPr>
      <w:r>
        <w:t>PoE requirements where applicable.</w:t>
      </w:r>
    </w:p>
    <w:p>
      <w:pPr>
        <w:pStyle w:val="ListBullet"/>
      </w:pPr>
      <w:r>
        <w:t>Industrial temperature and environmental ratings.</w:t>
      </w:r>
    </w:p>
    <w:p>
      <w:r>
        <w:t>A replacement with fewer ports or different uplink capabilities may force an unintended network redesign.</w:t>
      </w:r>
    </w:p>
    <w:p>
      <w:pPr>
        <w:pStyle w:val="Heading3"/>
      </w:pPr>
      <w:r>
        <w:t>5.2 Protocol compatibility</w:t>
      </w:r>
    </w:p>
    <w:p>
      <w:r>
        <w:t>Confirm support for the protocols actually used in the installation, such as:</w:t>
      </w:r>
    </w:p>
    <w:p>
      <w:pPr>
        <w:pStyle w:val="ListBullet"/>
      </w:pPr>
      <w:r>
        <w:t>IEEE 802.1Q VLAN tagging.</w:t>
      </w:r>
    </w:p>
    <w:p>
      <w:pPr>
        <w:pStyle w:val="ListBullet"/>
      </w:pPr>
      <w:r>
        <w:t>Rapid Spanning Tree Protocol (RSTP).</w:t>
      </w:r>
    </w:p>
    <w:p>
      <w:pPr>
        <w:pStyle w:val="ListBullet"/>
      </w:pPr>
      <w:r>
        <w:t>Media redundancy or industrial ring protocols.</w:t>
      </w:r>
    </w:p>
    <w:p>
      <w:pPr>
        <w:pStyle w:val="ListBullet"/>
      </w:pPr>
      <w:r>
        <w:t>IGMP snooping.</w:t>
      </w:r>
    </w:p>
    <w:p>
      <w:pPr>
        <w:pStyle w:val="ListBullet"/>
      </w:pPr>
      <w:r>
        <w:t>SNMP.</w:t>
      </w:r>
    </w:p>
    <w:p>
      <w:pPr>
        <w:pStyle w:val="ListBullet"/>
      </w:pPr>
      <w:r>
        <w:t>Syslog.</w:t>
      </w:r>
    </w:p>
    <w:p>
      <w:pPr>
        <w:pStyle w:val="ListBullet"/>
      </w:pPr>
      <w:r>
        <w:t>LLDP.</w:t>
      </w:r>
    </w:p>
    <w:p>
      <w:pPr>
        <w:pStyle w:val="ListBullet"/>
      </w:pPr>
      <w:r>
        <w:t>Required routing or access-control features.</w:t>
      </w:r>
    </w:p>
    <w:p>
      <w:r>
        <w:t>Protocol names alone are insufficient. Verify the supported mode, version, interoperability requirements, and intended network topology.</w:t>
      </w:r>
    </w:p>
    <w:p>
      <w:pPr>
        <w:pStyle w:val="Heading2"/>
      </w:pPr>
      <w:r>
        <w:t>6. Configuration Capture Before Removal</w:t>
      </w:r>
    </w:p>
    <w:p>
      <w:r>
        <w:t>Where the existing device remains accessible, collect its current configuration and operational state before replacement.</w:t>
      </w:r>
    </w:p>
    <w:p>
      <w:r>
        <w:t>For a managed switch, capture:</w:t>
      </w:r>
    </w:p>
    <w:p>
      <w:pPr>
        <w:pStyle w:val="ListBullet"/>
      </w:pPr>
      <w:r>
        <w:t>Running configuration.</w:t>
      </w:r>
    </w:p>
    <w:p>
      <w:pPr>
        <w:pStyle w:val="ListBullet"/>
      </w:pPr>
      <w:r>
        <w:t>Startup configuration.</w:t>
      </w:r>
    </w:p>
    <w:p>
      <w:pPr>
        <w:pStyle w:val="ListBullet"/>
      </w:pPr>
      <w:r>
        <w:t>Management IP address and subnet.</w:t>
      </w:r>
    </w:p>
    <w:p>
      <w:pPr>
        <w:pStyle w:val="ListBullet"/>
      </w:pPr>
      <w:r>
        <w:t>Default gateway.</w:t>
      </w:r>
    </w:p>
    <w:p>
      <w:pPr>
        <w:pStyle w:val="ListBullet"/>
      </w:pPr>
      <w:r>
        <w:t>VLAN database.</w:t>
      </w:r>
    </w:p>
    <w:p>
      <w:pPr>
        <w:pStyle w:val="ListBullet"/>
      </w:pPr>
      <w:r>
        <w:t>Port assignments and descriptions.</w:t>
      </w:r>
    </w:p>
    <w:p>
      <w:pPr>
        <w:pStyle w:val="ListBullet"/>
      </w:pPr>
      <w:r>
        <w:t>Trunk and access-port settings.</w:t>
      </w:r>
    </w:p>
    <w:p>
      <w:pPr>
        <w:pStyle w:val="ListBullet"/>
      </w:pPr>
      <w:r>
        <w:t>Speed and duplex settings.</w:t>
      </w:r>
    </w:p>
    <w:p>
      <w:pPr>
        <w:pStyle w:val="ListBullet"/>
      </w:pPr>
      <w:r>
        <w:t>Spanning-tree configuration.</w:t>
      </w:r>
    </w:p>
    <w:p>
      <w:pPr>
        <w:pStyle w:val="ListBullet"/>
      </w:pPr>
      <w:r>
        <w:t>Ring or redundancy settings.</w:t>
      </w:r>
    </w:p>
    <w:p>
      <w:pPr>
        <w:pStyle w:val="ListBullet"/>
      </w:pPr>
      <w:r>
        <w:t>QoS settings.</w:t>
      </w:r>
    </w:p>
    <w:p>
      <w:pPr>
        <w:pStyle w:val="ListBullet"/>
      </w:pPr>
      <w:r>
        <w:t>IGMP snooping configuration.</w:t>
      </w:r>
    </w:p>
    <w:p>
      <w:pPr>
        <w:pStyle w:val="ListBullet"/>
      </w:pPr>
      <w:r>
        <w:t>Port security and access-control rules.</w:t>
      </w:r>
    </w:p>
    <w:p>
      <w:pPr>
        <w:pStyle w:val="ListBullet"/>
      </w:pPr>
      <w:r>
        <w:t>SNMP and syslog configuration.</w:t>
      </w:r>
    </w:p>
    <w:p>
      <w:pPr>
        <w:pStyle w:val="ListBullet"/>
      </w:pPr>
      <w:r>
        <w:t>NTP or time synchronization settings.</w:t>
      </w:r>
    </w:p>
    <w:p>
      <w:pPr>
        <w:pStyle w:val="ListBullet"/>
      </w:pPr>
      <w:r>
        <w:t>Firmware version.</w:t>
      </w:r>
    </w:p>
    <w:p>
      <w:pPr>
        <w:pStyle w:val="ListBullet"/>
      </w:pPr>
      <w:r>
        <w:t>Interface counters and relevant event logs.</w:t>
      </w:r>
    </w:p>
    <w:p>
      <w:r>
        <w:t>Also document the physical connections. A configuration backup does not reveal which cable is connected to which physical port unless the mapping is documented separately.</w:t>
      </w:r>
    </w:p>
    <w:p>
      <w:pPr>
        <w:pStyle w:val="Heading3"/>
      </w:pPr>
      <w:r>
        <w:t>6.1 Save configuration evidence</w:t>
      </w:r>
    </w:p>
    <w:p>
      <w:r>
        <w:t>Store configuration files and related records in an approved location with controlled access. Credentials, keys, certificates, and other secrets must be handled according to the plant's security policy.</w:t>
      </w:r>
    </w:p>
    <w:p>
      <w:r>
        <w:t xml:space="preserve">Record the source device's model, firmware, date, and configuration revision. A file named </w:t>
      </w:r>
      <w:r>
        <w:rPr>
          <w:rFonts w:ascii="Consolas" w:hAnsi="Consolas"/>
          <w:color w:val="333333"/>
          <w:sz w:val="19"/>
          <w:shd w:val="clear" w:color="auto" w:fill="EFEFEF"/>
        </w:rPr>
        <w:t>switch_backup_final_new2.cfg</w:t>
      </w:r>
      <w:r>
        <w:t xml:space="preserve"> is not a configuration-management strategy.</w:t>
      </w:r>
    </w:p>
    <w:p>
      <w:pPr>
        <w:pStyle w:val="Heading2"/>
      </w:pPr>
      <w:r>
        <w:t>7. Replacement Procedure</w:t>
      </w:r>
    </w:p>
    <w:p>
      <w:pPr>
        <w:pStyle w:val="Heading3"/>
      </w:pPr>
      <w:r>
        <w:t>Step 1: Prepare the work</w:t>
      </w:r>
    </w:p>
    <w:p>
      <w:pPr>
        <w:pStyle w:val="ListBullet"/>
      </w:pPr>
      <w:r>
        <w:t>Confirm the fault and approved replacement.</w:t>
      </w:r>
    </w:p>
    <w:p>
      <w:pPr>
        <w:pStyle w:val="ListBullet"/>
      </w:pPr>
      <w:r>
        <w:t>Verify the replacement part number and condition.</w:t>
      </w:r>
    </w:p>
    <w:p>
      <w:pPr>
        <w:pStyle w:val="ListBullet"/>
      </w:pPr>
      <w:r>
        <w:t>Check configuration compatibility.</w:t>
      </w:r>
    </w:p>
    <w:p>
      <w:pPr>
        <w:pStyle w:val="ListBullet"/>
      </w:pPr>
      <w:r>
        <w:t>Confirm required tools, cables, transceivers, and mounting accessories.</w:t>
      </w:r>
    </w:p>
    <w:p>
      <w:pPr>
        <w:pStyle w:val="ListBullet"/>
      </w:pPr>
      <w:r>
        <w:t>Identify affected machines and production dependencies.</w:t>
      </w:r>
    </w:p>
    <w:p>
      <w:pPr>
        <w:pStyle w:val="ListBullet"/>
      </w:pPr>
      <w:r>
        <w:t>Obtain the necessary work permit and authorization.</w:t>
      </w:r>
    </w:p>
    <w:p>
      <w:pPr>
        <w:pStyle w:val="Heading3"/>
      </w:pPr>
      <w:r>
        <w:t>Step 2: Prepare a rollback plan</w:t>
      </w:r>
    </w:p>
    <w:p>
      <w:r>
        <w:t>Before disconnecting the old device, define how the original state will be restored if the replacement fails.</w:t>
      </w:r>
    </w:p>
    <w:p>
      <w:r>
        <w:t>Include:</w:t>
      </w:r>
    </w:p>
    <w:p>
      <w:pPr>
        <w:pStyle w:val="ListBullet"/>
      </w:pPr>
      <w:r>
        <w:t>Original device availability and condition.</w:t>
      </w:r>
    </w:p>
    <w:p>
      <w:pPr>
        <w:pStyle w:val="ListBullet"/>
      </w:pPr>
      <w:r>
        <w:t>Original configuration file.</w:t>
      </w:r>
    </w:p>
    <w:p>
      <w:pPr>
        <w:pStyle w:val="ListBullet"/>
      </w:pPr>
      <w:r>
        <w:t>Physical port and cable mapping.</w:t>
      </w:r>
    </w:p>
    <w:p>
      <w:pPr>
        <w:pStyle w:val="ListBullet"/>
      </w:pPr>
      <w:r>
        <w:t>Original firmware and relevant settings.</w:t>
      </w:r>
    </w:p>
    <w:p>
      <w:pPr>
        <w:pStyle w:val="ListBullet"/>
      </w:pPr>
      <w:r>
        <w:t>Restoration sequence.</w:t>
      </w:r>
    </w:p>
    <w:p>
      <w:pPr>
        <w:pStyle w:val="ListBullet"/>
      </w:pPr>
      <w:r>
        <w:t>Required support personnel.</w:t>
      </w:r>
    </w:p>
    <w:p>
      <w:pPr>
        <w:pStyle w:val="ListBullet"/>
      </w:pPr>
      <w:r>
        <w:t>Rollback decision criteria.</w:t>
      </w:r>
    </w:p>
    <w:p>
      <w:r>
        <w:t>Do not assume the original unit can be reinstalled immediately. If it has a hardware fault, returning to the original hardware may not restore operation.</w:t>
      </w:r>
    </w:p>
    <w:p>
      <w:pPr>
        <w:pStyle w:val="Heading3"/>
      </w:pPr>
      <w:r>
        <w:t>Step 3: Record physical connections</w:t>
      </w:r>
    </w:p>
    <w:p>
      <w:r>
        <w:t>Label cables and record their original port assignments.</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Original port</w:t>
            </w:r>
          </w:p>
        </w:tc>
        <w:tc>
          <w:tcPr>
            <w:tcW w:type="dxa" w:w="2700"/>
            <w:shd w:val="clear" w:color="auto" w:fill="EEF2F7"/>
          </w:tcPr>
          <w:p>
            <w:pPr>
              <w:spacing w:after="0" w:before="0" w:line="240" w:lineRule="auto"/>
              <w:jc w:val="left"/>
            </w:pPr>
            <w:r>
              <w:rPr>
                <w:b/>
                <w:color w:val="1A2E4A"/>
              </w:rPr>
              <w:t>Connected equipment</w:t>
            </w:r>
          </w:p>
        </w:tc>
        <w:tc>
          <w:tcPr>
            <w:tcW w:type="dxa" w:w="2700"/>
            <w:shd w:val="clear" w:color="auto" w:fill="EEF2F7"/>
          </w:tcPr>
          <w:p>
            <w:pPr>
              <w:spacing w:after="0" w:before="0" w:line="240" w:lineRule="auto"/>
              <w:jc w:val="left"/>
            </w:pPr>
            <w:r>
              <w:rPr>
                <w:b/>
                <w:color w:val="1A2E4A"/>
              </w:rPr>
              <w:t>Cable ID</w:t>
            </w:r>
          </w:p>
        </w:tc>
        <w:tc>
          <w:tcPr>
            <w:tcW w:type="dxa" w:w="2700"/>
            <w:shd w:val="clear" w:color="auto" w:fill="EEF2F7"/>
          </w:tcPr>
          <w:p>
            <w:pPr>
              <w:spacing w:after="0" w:before="0" w:line="240" w:lineRule="auto"/>
              <w:jc w:val="left"/>
            </w:pPr>
            <w:r>
              <w:rPr>
                <w:b/>
                <w:color w:val="1A2E4A"/>
              </w:rPr>
              <w:t>Expected function</w:t>
            </w:r>
          </w:p>
        </w:tc>
      </w:tr>
      <w:tr>
        <w:tc>
          <w:tcPr>
            <w:tcW w:type="dxa" w:w="2700"/>
          </w:tcPr>
          <w:p>
            <w:pPr>
              <w:spacing w:after="0" w:before="0" w:line="240" w:lineRule="auto"/>
              <w:jc w:val="left"/>
            </w:pPr>
            <w:r>
              <w:t>Port 1</w:t>
            </w:r>
          </w:p>
        </w:tc>
        <w:tc>
          <w:tcPr>
            <w:tcW w:type="dxa" w:w="2700"/>
          </w:tcPr>
          <w:p>
            <w:pPr>
              <w:spacing w:after="0" w:before="0" w:line="240" w:lineRule="auto"/>
              <w:jc w:val="left"/>
            </w:pPr>
            <w:r>
              <w:t>PLC network interface</w:t>
            </w:r>
          </w:p>
        </w:tc>
        <w:tc>
          <w:tcPr>
            <w:tcW w:type="dxa" w:w="2700"/>
          </w:tcPr>
          <w:p>
            <w:pPr>
              <w:spacing w:after="0" w:before="0" w:line="240" w:lineRule="auto"/>
              <w:jc w:val="left"/>
            </w:pPr>
            <w:r>
              <w:t>NET-PLC-01</w:t>
            </w:r>
          </w:p>
        </w:tc>
        <w:tc>
          <w:tcPr>
            <w:tcW w:type="dxa" w:w="2700"/>
          </w:tcPr>
          <w:p>
            <w:pPr>
              <w:spacing w:after="0" w:before="0" w:line="240" w:lineRule="auto"/>
              <w:jc w:val="left"/>
            </w:pPr>
            <w:r>
              <w:t>PLC communication</w:t>
            </w:r>
          </w:p>
        </w:tc>
      </w:tr>
      <w:tr>
        <w:tc>
          <w:tcPr>
            <w:tcW w:type="dxa" w:w="2700"/>
          </w:tcPr>
          <w:p>
            <w:pPr>
              <w:spacing w:after="0" w:before="0" w:line="240" w:lineRule="auto"/>
              <w:jc w:val="left"/>
            </w:pPr>
            <w:r>
              <w:t>Port 2</w:t>
            </w:r>
          </w:p>
        </w:tc>
        <w:tc>
          <w:tcPr>
            <w:tcW w:type="dxa" w:w="2700"/>
          </w:tcPr>
          <w:p>
            <w:pPr>
              <w:spacing w:after="0" w:before="0" w:line="240" w:lineRule="auto"/>
              <w:jc w:val="left"/>
            </w:pPr>
            <w:r>
              <w:t>HMI</w:t>
            </w:r>
          </w:p>
        </w:tc>
        <w:tc>
          <w:tcPr>
            <w:tcW w:type="dxa" w:w="2700"/>
          </w:tcPr>
          <w:p>
            <w:pPr>
              <w:spacing w:after="0" w:before="0" w:line="240" w:lineRule="auto"/>
              <w:jc w:val="left"/>
            </w:pPr>
            <w:r>
              <w:t>NET-HMI-01</w:t>
            </w:r>
          </w:p>
        </w:tc>
        <w:tc>
          <w:tcPr>
            <w:tcW w:type="dxa" w:w="2700"/>
          </w:tcPr>
          <w:p>
            <w:pPr>
              <w:spacing w:after="0" w:before="0" w:line="240" w:lineRule="auto"/>
              <w:jc w:val="left"/>
            </w:pPr>
            <w:r>
              <w:t>Operator interface</w:t>
            </w:r>
          </w:p>
        </w:tc>
      </w:tr>
      <w:tr>
        <w:tc>
          <w:tcPr>
            <w:tcW w:type="dxa" w:w="2700"/>
          </w:tcPr>
          <w:p>
            <w:pPr>
              <w:spacing w:after="0" w:before="0" w:line="240" w:lineRule="auto"/>
              <w:jc w:val="left"/>
            </w:pPr>
            <w:r>
              <w:t>Port 3</w:t>
            </w:r>
          </w:p>
        </w:tc>
        <w:tc>
          <w:tcPr>
            <w:tcW w:type="dxa" w:w="2700"/>
          </w:tcPr>
          <w:p>
            <w:pPr>
              <w:spacing w:after="0" w:before="0" w:line="240" w:lineRule="auto"/>
              <w:jc w:val="left"/>
            </w:pPr>
            <w:r>
              <w:t>Industrial PC</w:t>
            </w:r>
          </w:p>
        </w:tc>
        <w:tc>
          <w:tcPr>
            <w:tcW w:type="dxa" w:w="2700"/>
          </w:tcPr>
          <w:p>
            <w:pPr>
              <w:spacing w:after="0" w:before="0" w:line="240" w:lineRule="auto"/>
              <w:jc w:val="left"/>
            </w:pPr>
            <w:r>
              <w:t>NET-IPC-01</w:t>
            </w:r>
          </w:p>
        </w:tc>
        <w:tc>
          <w:tcPr>
            <w:tcW w:type="dxa" w:w="2700"/>
          </w:tcPr>
          <w:p>
            <w:pPr>
              <w:spacing w:after="0" w:before="0" w:line="240" w:lineRule="auto"/>
              <w:jc w:val="left"/>
            </w:pPr>
            <w:r>
              <w:t>Data collection</w:t>
            </w:r>
          </w:p>
        </w:tc>
      </w:tr>
      <w:tr>
        <w:tc>
          <w:tcPr>
            <w:tcW w:type="dxa" w:w="2700"/>
          </w:tcPr>
          <w:p>
            <w:pPr>
              <w:spacing w:after="0" w:before="0" w:line="240" w:lineRule="auto"/>
              <w:jc w:val="left"/>
            </w:pPr>
            <w:r>
              <w:t>Port 24</w:t>
            </w:r>
          </w:p>
        </w:tc>
        <w:tc>
          <w:tcPr>
            <w:tcW w:type="dxa" w:w="2700"/>
          </w:tcPr>
          <w:p>
            <w:pPr>
              <w:spacing w:after="0" w:before="0" w:line="240" w:lineRule="auto"/>
              <w:jc w:val="left"/>
            </w:pPr>
            <w:r>
              <w:t>Core switch</w:t>
            </w:r>
          </w:p>
        </w:tc>
        <w:tc>
          <w:tcPr>
            <w:tcW w:type="dxa" w:w="2700"/>
          </w:tcPr>
          <w:p>
            <w:pPr>
              <w:spacing w:after="0" w:before="0" w:line="240" w:lineRule="auto"/>
              <w:jc w:val="left"/>
            </w:pPr>
            <w:r>
              <w:t>NET-UPLINK-01</w:t>
            </w:r>
          </w:p>
        </w:tc>
        <w:tc>
          <w:tcPr>
            <w:tcW w:type="dxa" w:w="2700"/>
          </w:tcPr>
          <w:p>
            <w:pPr>
              <w:spacing w:after="0" w:before="0" w:line="240" w:lineRule="auto"/>
              <w:jc w:val="left"/>
            </w:pPr>
            <w:r>
              <w:t>Network uplink</w:t>
            </w:r>
          </w:p>
        </w:tc>
      </w:tr>
    </w:tbl>
    <w:p/>
    <w:p>
      <w:r>
        <w:t>These are illustrative labels. Use the actual identifiers from the installation.</w:t>
      </w:r>
    </w:p>
    <w:p>
      <w:pPr>
        <w:pStyle w:val="Heading3"/>
      </w:pPr>
      <w:r>
        <w:t>Step 4: Isolate and remove the old device</w:t>
      </w:r>
    </w:p>
    <w:p>
      <w:pPr>
        <w:pStyle w:val="ListBullet"/>
      </w:pPr>
      <w:r>
        <w:t>Follow the approved shutdown and isolation procedure.</w:t>
      </w:r>
    </w:p>
    <w:p>
      <w:pPr>
        <w:pStyle w:val="ListBullet"/>
      </w:pPr>
      <w:r>
        <w:t>Confirm which power supplies and communication paths must be isolated.</w:t>
      </w:r>
    </w:p>
    <w:p>
      <w:pPr>
        <w:pStyle w:val="ListBullet"/>
      </w:pPr>
      <w:r>
        <w:t>Observe electrical safety requirements.</w:t>
      </w:r>
    </w:p>
    <w:p>
      <w:pPr>
        <w:pStyle w:val="ListBullet"/>
      </w:pPr>
      <w:r>
        <w:t>Disconnect cables without damaging connectors.</w:t>
      </w:r>
    </w:p>
    <w:p>
      <w:pPr>
        <w:pStyle w:val="ListBullet"/>
      </w:pPr>
      <w:r>
        <w:t>Remove the old device and preserve its identification label and configuration records.</w:t>
      </w:r>
    </w:p>
    <w:p>
      <w:r>
        <w:t>For redundant systems, verify the approved sequence before isolating a device. Do not remove both members of a redundant pair simultaneously unless the procedure explicitly permits it.</w:t>
      </w:r>
    </w:p>
    <w:p>
      <w:pPr>
        <w:pStyle w:val="Heading3"/>
      </w:pPr>
      <w:r>
        <w:t>Step 5: Install the replacement</w:t>
      </w:r>
    </w:p>
    <w:p>
      <w:pPr>
        <w:pStyle w:val="ListBullet"/>
      </w:pPr>
      <w:r>
        <w:t>Verify the device model and hardware revision.</w:t>
      </w:r>
    </w:p>
    <w:p>
      <w:pPr>
        <w:pStyle w:val="ListBullet"/>
      </w:pPr>
      <w:r>
        <w:t>Mount it securely.</w:t>
      </w:r>
    </w:p>
    <w:p>
      <w:pPr>
        <w:pStyle w:val="ListBullet"/>
      </w:pPr>
      <w:r>
        <w:t>Connect the correct power supply.</w:t>
      </w:r>
    </w:p>
    <w:p>
      <w:pPr>
        <w:pStyle w:val="ListBullet"/>
      </w:pPr>
      <w:r>
        <w:t>Check grounding and bonding requirements.</w:t>
      </w:r>
    </w:p>
    <w:p>
      <w:pPr>
        <w:pStyle w:val="ListBullet"/>
      </w:pPr>
      <w:r>
        <w:t>Connect cables according to the recorded port map.</w:t>
      </w:r>
    </w:p>
    <w:p>
      <w:pPr>
        <w:pStyle w:val="ListBullet"/>
      </w:pPr>
      <w:r>
        <w:t>Verify transceiver compatibility and fiber polarity.</w:t>
      </w:r>
    </w:p>
    <w:p>
      <w:pPr>
        <w:pStyle w:val="ListBullet"/>
      </w:pPr>
      <w:r>
        <w:t>Keep unused ports in the approved state.</w:t>
      </w:r>
    </w:p>
    <w:p>
      <w:pPr>
        <w:pStyle w:val="Heading3"/>
      </w:pPr>
      <w:r>
        <w:t>Step 6: Apply the intended configuration</w:t>
      </w:r>
    </w:p>
    <w:p>
      <w:r>
        <w:t>Use the manufacturer's supported procedure.</w:t>
      </w:r>
    </w:p>
    <w:p>
      <w:r>
        <w:t>For a managed switch, this may include:</w:t>
      </w:r>
    </w:p>
    <w:p>
      <w:pPr>
        <w:tabs>
          <w:tab w:pos="403" w:val="left"/>
        </w:tabs>
        <w:spacing w:after="40" w:line="276" w:lineRule="auto"/>
        <w:ind w:left="403" w:hanging="403"/>
        <w:jc w:val="left"/>
      </w:pPr>
      <w:r>
        <w:rPr>
          <w:color w:val="1A2E4A"/>
        </w:rPr>
        <w:t>1.</w:t>
        <w:tab/>
      </w:r>
      <w:r>
        <w:t>Set the management address.</w:t>
      </w:r>
    </w:p>
    <w:p>
      <w:pPr>
        <w:tabs>
          <w:tab w:pos="403" w:val="left"/>
        </w:tabs>
        <w:spacing w:after="40" w:line="276" w:lineRule="auto"/>
        <w:ind w:left="403" w:hanging="403"/>
        <w:jc w:val="left"/>
      </w:pPr>
      <w:r>
        <w:rPr>
          <w:color w:val="1A2E4A"/>
        </w:rPr>
        <w:t>2.</w:t>
        <w:tab/>
      </w:r>
      <w:r>
        <w:t>Configure the management VLAN and access method.</w:t>
      </w:r>
    </w:p>
    <w:p>
      <w:pPr>
        <w:tabs>
          <w:tab w:pos="403" w:val="left"/>
        </w:tabs>
        <w:spacing w:after="40" w:line="276" w:lineRule="auto"/>
        <w:ind w:left="403" w:hanging="403"/>
        <w:jc w:val="left"/>
      </w:pPr>
      <w:r>
        <w:rPr>
          <w:color w:val="1A2E4A"/>
        </w:rPr>
        <w:t>3.</w:t>
        <w:tab/>
      </w:r>
      <w:r>
        <w:t>Restore or recreate VLANs.</w:t>
      </w:r>
    </w:p>
    <w:p>
      <w:pPr>
        <w:tabs>
          <w:tab w:pos="403" w:val="left"/>
        </w:tabs>
        <w:spacing w:after="40" w:line="276" w:lineRule="auto"/>
        <w:ind w:left="403" w:hanging="403"/>
        <w:jc w:val="left"/>
      </w:pPr>
      <w:r>
        <w:rPr>
          <w:color w:val="1A2E4A"/>
        </w:rPr>
        <w:t>4.</w:t>
        <w:tab/>
      </w:r>
      <w:r>
        <w:t>Apply access-port and trunk settings.</w:t>
      </w:r>
    </w:p>
    <w:p>
      <w:pPr>
        <w:tabs>
          <w:tab w:pos="403" w:val="left"/>
        </w:tabs>
        <w:spacing w:after="40" w:line="276" w:lineRule="auto"/>
        <w:ind w:left="403" w:hanging="403"/>
        <w:jc w:val="left"/>
      </w:pPr>
      <w:r>
        <w:rPr>
          <w:color w:val="1A2E4A"/>
        </w:rPr>
        <w:t>5.</w:t>
        <w:tab/>
      </w:r>
      <w:r>
        <w:t>Configure redundancy and spanning-tree settings.</w:t>
      </w:r>
    </w:p>
    <w:p>
      <w:pPr>
        <w:tabs>
          <w:tab w:pos="403" w:val="left"/>
        </w:tabs>
        <w:spacing w:after="40" w:line="276" w:lineRule="auto"/>
        <w:ind w:left="403" w:hanging="403"/>
        <w:jc w:val="left"/>
      </w:pPr>
      <w:r>
        <w:rPr>
          <w:color w:val="1A2E4A"/>
        </w:rPr>
        <w:t>6.</w:t>
        <w:tab/>
      </w:r>
      <w:r>
        <w:t>Configure QoS, multicast, and other required features.</w:t>
      </w:r>
    </w:p>
    <w:p>
      <w:pPr>
        <w:tabs>
          <w:tab w:pos="403" w:val="left"/>
        </w:tabs>
        <w:spacing w:after="40" w:line="276" w:lineRule="auto"/>
        <w:ind w:left="403" w:hanging="403"/>
        <w:jc w:val="left"/>
      </w:pPr>
      <w:r>
        <w:rPr>
          <w:color w:val="1A2E4A"/>
        </w:rPr>
        <w:t>7.</w:t>
        <w:tab/>
      </w:r>
      <w:r>
        <w:t>Apply approved security settings.</w:t>
      </w:r>
    </w:p>
    <w:p>
      <w:pPr>
        <w:tabs>
          <w:tab w:pos="403" w:val="left"/>
        </w:tabs>
        <w:spacing w:after="40" w:line="276" w:lineRule="auto"/>
        <w:ind w:left="403" w:hanging="403"/>
        <w:jc w:val="left"/>
      </w:pPr>
      <w:r>
        <w:rPr>
          <w:color w:val="1A2E4A"/>
        </w:rPr>
        <w:t>8.</w:t>
        <w:tab/>
      </w:r>
      <w:r>
        <w:t>Configure monitoring and time synchronization.</w:t>
      </w:r>
    </w:p>
    <w:p>
      <w:r>
        <w:t>Configuration order matters. For example, changing the management VLAN or IP address can disconnect the session being used to configure the device. Use a console or other approved recovery access method when necessary.</w:t>
      </w:r>
    </w:p>
    <w:p>
      <w:pPr>
        <w:pStyle w:val="Heading3"/>
      </w:pPr>
      <w:r>
        <w:t>Step 7: Validate the network</w:t>
      </w:r>
    </w:p>
    <w:p>
      <w:r>
        <w:t>Verify the replacement in stages:</w:t>
      </w:r>
    </w:p>
    <w:p>
      <w:pPr>
        <w:pStyle w:val="ListBullet"/>
      </w:pPr>
      <w:r>
        <w:t>Device boots without critical alarms.</w:t>
      </w:r>
    </w:p>
    <w:p>
      <w:pPr>
        <w:pStyle w:val="ListBullet"/>
      </w:pPr>
      <w:r>
        <w:t>Correct firmware and hardware are detected.</w:t>
      </w:r>
    </w:p>
    <w:p>
      <w:pPr>
        <w:pStyle w:val="ListBullet"/>
      </w:pPr>
      <w:r>
        <w:t>Intended ports establish links.</w:t>
      </w:r>
    </w:p>
    <w:p>
      <w:pPr>
        <w:pStyle w:val="ListBullet"/>
      </w:pPr>
      <w:r>
        <w:t>Link speeds and duplex settings are correct.</w:t>
      </w:r>
    </w:p>
    <w:p>
      <w:pPr>
        <w:pStyle w:val="ListBullet"/>
      </w:pPr>
      <w:r>
        <w:t>VLAN membership and uplinks are correct.</w:t>
      </w:r>
    </w:p>
    <w:p>
      <w:pPr>
        <w:pStyle w:val="ListBullet"/>
      </w:pPr>
      <w:r>
        <w:t>Redundancy operates as designed.</w:t>
      </w:r>
    </w:p>
    <w:p>
      <w:pPr>
        <w:pStyle w:val="ListBullet"/>
      </w:pPr>
      <w:r>
        <w:t>Management access is restored.</w:t>
      </w:r>
    </w:p>
    <w:p>
      <w:pPr>
        <w:pStyle w:val="ListBullet"/>
      </w:pPr>
      <w:r>
        <w:t>PLC, HMI, CNC, robot, IPC, and SCADA communication works as applicable.</w:t>
      </w:r>
    </w:p>
    <w:p>
      <w:pPr>
        <w:pStyle w:val="ListBullet"/>
      </w:pPr>
      <w:r>
        <w:t>Monitoring and alarm reporting function.</w:t>
      </w:r>
    </w:p>
    <w:p>
      <w:pPr>
        <w:pStyle w:val="ListBullet"/>
      </w:pPr>
      <w:r>
        <w:t>No unexpected errors or topology changes occur.</w:t>
      </w:r>
    </w:p>
    <w:p>
      <w:pPr>
        <w:pStyle w:val="Heading3"/>
      </w:pPr>
      <w:r>
        <w:t>Step 8: Close the work</w:t>
      </w:r>
    </w:p>
    <w:p>
      <w:r>
        <w:t>Record the replacement model, serial number, firmware, configuration revision, test results, and any differences from the original device. Update asset and network records.</w:t>
      </w:r>
    </w:p>
    <w:p>
      <w:pPr>
        <w:pStyle w:val="Heading2"/>
      </w:pPr>
      <w:r>
        <w:t>8. Configuration Transfer and Firmware Risks</w:t>
      </w:r>
    </w:p>
    <w:p>
      <w:r>
        <w:t>A configuration file from the original device should not automatically be imported into a different model.</w:t>
      </w:r>
    </w:p>
    <w:p>
      <w:r>
        <w:t>Potential incompatibilities include:</w:t>
      </w:r>
    </w:p>
    <w:p>
      <w:pPr>
        <w:pStyle w:val="ListBullet"/>
      </w:pPr>
      <w:r>
        <w:t>Different interface numbering.</w:t>
      </w:r>
    </w:p>
    <w:p>
      <w:pPr>
        <w:pStyle w:val="ListBullet"/>
      </w:pPr>
      <w:r>
        <w:t>Different VLAN capabilities.</w:t>
      </w:r>
    </w:p>
    <w:p>
      <w:pPr>
        <w:pStyle w:val="ListBullet"/>
      </w:pPr>
      <w:r>
        <w:t>Unsupported commands.</w:t>
      </w:r>
    </w:p>
    <w:p>
      <w:pPr>
        <w:pStyle w:val="ListBullet"/>
      </w:pPr>
      <w:r>
        <w:t>Changed syntax between firmware versions.</w:t>
      </w:r>
    </w:p>
    <w:p>
      <w:pPr>
        <w:pStyle w:val="ListBullet"/>
      </w:pPr>
      <w:r>
        <w:t>Different redundancy features.</w:t>
      </w:r>
    </w:p>
    <w:p>
      <w:pPr>
        <w:pStyle w:val="ListBullet"/>
      </w:pPr>
      <w:r>
        <w:t>Different management interfaces.</w:t>
      </w:r>
    </w:p>
    <w:p>
      <w:pPr>
        <w:pStyle w:val="ListBullet"/>
      </w:pPr>
      <w:r>
        <w:t>Different security defaults.</w:t>
      </w:r>
    </w:p>
    <w:p>
      <w:pPr>
        <w:pStyle w:val="ListBullet"/>
      </w:pPr>
      <w:r>
        <w:t>Different default port states.</w:t>
      </w:r>
    </w:p>
    <w:p>
      <w:pPr>
        <w:pStyle w:val="ListBullet"/>
      </w:pPr>
      <w:r>
        <w:t>Changed licensing requirements.</w:t>
      </w:r>
    </w:p>
    <w:p>
      <w:pPr>
        <w:pStyle w:val="Heading3"/>
      </w:pPr>
      <w:r>
        <w:t>8.1 Recommended transfer method</w:t>
      </w:r>
    </w:p>
    <w:p>
      <w:pPr>
        <w:tabs>
          <w:tab w:pos="403" w:val="left"/>
        </w:tabs>
        <w:spacing w:after="40" w:line="276" w:lineRule="auto"/>
        <w:ind w:left="403" w:hanging="403"/>
        <w:jc w:val="left"/>
      </w:pPr>
      <w:r>
        <w:rPr>
          <w:color w:val="1A2E4A"/>
        </w:rPr>
        <w:t>1.</w:t>
        <w:tab/>
      </w:r>
      <w:r>
        <w:t>Confirm that the configuration is intended for the exact replacement model and supported firmware.</w:t>
      </w:r>
    </w:p>
    <w:p>
      <w:pPr>
        <w:tabs>
          <w:tab w:pos="403" w:val="left"/>
        </w:tabs>
        <w:spacing w:after="40" w:line="276" w:lineRule="auto"/>
        <w:ind w:left="403" w:hanging="403"/>
        <w:jc w:val="left"/>
      </w:pPr>
      <w:r>
        <w:rPr>
          <w:color w:val="1A2E4A"/>
        </w:rPr>
        <w:t>2.</w:t>
        <w:tab/>
      </w:r>
      <w:r>
        <w:t>Review the manufacturer's compatibility guidance.</w:t>
      </w:r>
    </w:p>
    <w:p>
      <w:pPr>
        <w:tabs>
          <w:tab w:pos="403" w:val="left"/>
        </w:tabs>
        <w:spacing w:after="40" w:line="276" w:lineRule="auto"/>
        <w:ind w:left="403" w:hanging="403"/>
        <w:jc w:val="left"/>
      </w:pPr>
      <w:r>
        <w:rPr>
          <w:color w:val="1A2E4A"/>
        </w:rPr>
        <w:t>3.</w:t>
        <w:tab/>
      </w:r>
      <w:r>
        <w:t>Preserve an untouched copy of the original configuration.</w:t>
      </w:r>
    </w:p>
    <w:p>
      <w:pPr>
        <w:tabs>
          <w:tab w:pos="403" w:val="left"/>
        </w:tabs>
        <w:spacing w:after="40" w:line="276" w:lineRule="auto"/>
        <w:ind w:left="403" w:hanging="403"/>
        <w:jc w:val="left"/>
      </w:pPr>
      <w:r>
        <w:rPr>
          <w:color w:val="1A2E4A"/>
        </w:rPr>
        <w:t>4.</w:t>
        <w:tab/>
      </w:r>
      <w:r>
        <w:t>Review and adapt the configuration where required.</w:t>
      </w:r>
    </w:p>
    <w:p>
      <w:pPr>
        <w:tabs>
          <w:tab w:pos="403" w:val="left"/>
        </w:tabs>
        <w:spacing w:after="40" w:line="276" w:lineRule="auto"/>
        <w:ind w:left="403" w:hanging="403"/>
        <w:jc w:val="left"/>
      </w:pPr>
      <w:r>
        <w:rPr>
          <w:color w:val="1A2E4A"/>
        </w:rPr>
        <w:t>5.</w:t>
        <w:tab/>
      </w:r>
      <w:r>
        <w:t>Import it using the approved method.</w:t>
      </w:r>
    </w:p>
    <w:p>
      <w:pPr>
        <w:tabs>
          <w:tab w:pos="403" w:val="left"/>
        </w:tabs>
        <w:spacing w:after="40" w:line="276" w:lineRule="auto"/>
        <w:ind w:left="403" w:hanging="403"/>
        <w:jc w:val="left"/>
      </w:pPr>
      <w:r>
        <w:rPr>
          <w:color w:val="1A2E4A"/>
        </w:rPr>
        <w:t>6.</w:t>
        <w:tab/>
      </w:r>
      <w:r>
        <w:t>Check for rejected commands, warnings, or omitted settings.</w:t>
      </w:r>
    </w:p>
    <w:p>
      <w:pPr>
        <w:tabs>
          <w:tab w:pos="403" w:val="left"/>
        </w:tabs>
        <w:spacing w:after="40" w:line="276" w:lineRule="auto"/>
        <w:ind w:left="403" w:hanging="403"/>
        <w:jc w:val="left"/>
      </w:pPr>
      <w:r>
        <w:rPr>
          <w:color w:val="1A2E4A"/>
        </w:rPr>
        <w:t>7.</w:t>
        <w:tab/>
      </w:r>
      <w:r>
        <w:t>Compare the active configuration against the approved intended configuration.</w:t>
      </w:r>
    </w:p>
    <w:p>
      <w:pPr>
        <w:tabs>
          <w:tab w:pos="403" w:val="left"/>
        </w:tabs>
        <w:spacing w:after="40" w:line="276" w:lineRule="auto"/>
        <w:ind w:left="403" w:hanging="403"/>
        <w:jc w:val="left"/>
      </w:pPr>
      <w:r>
        <w:rPr>
          <w:color w:val="1A2E4A"/>
        </w:rPr>
        <w:t>8.</w:t>
        <w:tab/>
      </w:r>
      <w:r>
        <w:t>Test the actual network behavior.</w:t>
      </w:r>
    </w:p>
    <w:p>
      <w:r>
        <w:t>If the original configuration is not portable, rebuild the replacement from the approved network design rather than forcing an incompatible file into it.</w:t>
      </w:r>
    </w:p>
    <w:p>
      <w:pPr>
        <w:pStyle w:val="Heading3"/>
      </w:pPr>
      <w:r>
        <w:t>8.2 Firmware considerations</w:t>
      </w:r>
    </w:p>
    <w:p>
      <w:r>
        <w:t>The newest available firmware is not automatically the correct firmware for a production replacement.</w:t>
      </w:r>
    </w:p>
    <w:p>
      <w:r>
        <w:t>Check:</w:t>
      </w:r>
    </w:p>
    <w:p>
      <w:pPr>
        <w:pStyle w:val="ListBullet"/>
      </w:pPr>
      <w:r>
        <w:t>Hardware revision compatibility.</w:t>
      </w:r>
    </w:p>
    <w:p>
      <w:pPr>
        <w:pStyle w:val="ListBullet"/>
      </w:pPr>
      <w:r>
        <w:t>Supported firmware versions.</w:t>
      </w:r>
    </w:p>
    <w:p>
      <w:pPr>
        <w:pStyle w:val="ListBullet"/>
      </w:pPr>
      <w:r>
        <w:t>Known defects and security advisories.</w:t>
      </w:r>
    </w:p>
    <w:p>
      <w:pPr>
        <w:pStyle w:val="ListBullet"/>
      </w:pPr>
      <w:r>
        <w:t>Interoperability with connected devices.</w:t>
      </w:r>
    </w:p>
    <w:p>
      <w:pPr>
        <w:pStyle w:val="ListBullet"/>
      </w:pPr>
      <w:r>
        <w:t>Configuration migration requirements.</w:t>
      </w:r>
    </w:p>
    <w:p>
      <w:pPr>
        <w:pStyle w:val="ListBullet"/>
      </w:pPr>
      <w:r>
        <w:t>Licensing and feature dependencies.</w:t>
      </w:r>
    </w:p>
    <w:p>
      <w:pPr>
        <w:pStyle w:val="ListBullet"/>
      </w:pPr>
      <w:r>
        <w:t>Plant approval and change-control requirements.</w:t>
      </w:r>
    </w:p>
    <w:p>
      <w:r>
        <w:t>Do not upgrade firmware during a hardware replacement merely because an update is available. Treat an upgrade as a separate engineering change unless the replacement procedure explicitly includes it.</w:t>
      </w:r>
    </w:p>
    <w:p>
      <w:pPr>
        <w:pStyle w:val="Heading2"/>
      </w:pPr>
      <w:r>
        <w:t>9. Device Replacement Validation Matrix</w:t>
      </w:r>
    </w:p>
    <w:p>
      <w:r>
        <w:t>Use a structured validation matrix to prove that the replacement fulfills its intended function.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Validation item</w:t>
            </w:r>
          </w:p>
        </w:tc>
        <w:tc>
          <w:tcPr>
            <w:tcW w:type="dxa" w:w="3600"/>
            <w:shd w:val="clear" w:color="auto" w:fill="EEF2F7"/>
          </w:tcPr>
          <w:p>
            <w:pPr>
              <w:spacing w:after="0" w:before="0" w:line="240" w:lineRule="auto"/>
              <w:jc w:val="left"/>
            </w:pPr>
            <w:r>
              <w:rPr>
                <w:b/>
                <w:color w:val="1A2E4A"/>
              </w:rPr>
              <w:t>Test method</w:t>
            </w:r>
          </w:p>
        </w:tc>
        <w:tc>
          <w:tcPr>
            <w:tcW w:type="dxa" w:w="3600"/>
            <w:shd w:val="clear" w:color="auto" w:fill="EEF2F7"/>
          </w:tcPr>
          <w:p>
            <w:pPr>
              <w:spacing w:after="0" w:before="0" w:line="240" w:lineRule="auto"/>
              <w:jc w:val="left"/>
            </w:pPr>
            <w:r>
              <w:rPr>
                <w:b/>
                <w:color w:val="1A2E4A"/>
              </w:rPr>
              <w:t>Acceptance criterion</w:t>
            </w:r>
          </w:p>
        </w:tc>
      </w:tr>
      <w:tr>
        <w:tc>
          <w:tcPr>
            <w:tcW w:type="dxa" w:w="3600"/>
          </w:tcPr>
          <w:p>
            <w:pPr>
              <w:spacing w:after="0" w:before="0" w:line="240" w:lineRule="auto"/>
              <w:jc w:val="left"/>
            </w:pPr>
            <w:r>
              <w:t>Power and startup</w:t>
            </w:r>
          </w:p>
        </w:tc>
        <w:tc>
          <w:tcPr>
            <w:tcW w:type="dxa" w:w="3600"/>
          </w:tcPr>
          <w:p>
            <w:pPr>
              <w:spacing w:after="0" w:before="0" w:line="240" w:lineRule="auto"/>
              <w:jc w:val="left"/>
            </w:pPr>
            <w:r>
              <w:t>Inspect status indicators and diagnostics</w:t>
            </w:r>
          </w:p>
        </w:tc>
        <w:tc>
          <w:tcPr>
            <w:tcW w:type="dxa" w:w="3600"/>
          </w:tcPr>
          <w:p>
            <w:pPr>
              <w:spacing w:after="0" w:before="0" w:line="240" w:lineRule="auto"/>
              <w:jc w:val="left"/>
            </w:pPr>
            <w:r>
              <w:t>Normal startup without unresolved critical faults</w:t>
            </w:r>
          </w:p>
        </w:tc>
      </w:tr>
      <w:tr>
        <w:tc>
          <w:tcPr>
            <w:tcW w:type="dxa" w:w="3600"/>
          </w:tcPr>
          <w:p>
            <w:pPr>
              <w:spacing w:after="0" w:before="0" w:line="240" w:lineRule="auto"/>
              <w:jc w:val="left"/>
            </w:pPr>
            <w:r>
              <w:t>Physical connectivity</w:t>
            </w:r>
          </w:p>
        </w:tc>
        <w:tc>
          <w:tcPr>
            <w:tcW w:type="dxa" w:w="3600"/>
          </w:tcPr>
          <w:p>
            <w:pPr>
              <w:spacing w:after="0" w:before="0" w:line="240" w:lineRule="auto"/>
              <w:jc w:val="left"/>
            </w:pPr>
            <w:r>
              <w:t>Inspect port state and link indicators</w:t>
            </w:r>
          </w:p>
        </w:tc>
        <w:tc>
          <w:tcPr>
            <w:tcW w:type="dxa" w:w="3600"/>
          </w:tcPr>
          <w:p>
            <w:pPr>
              <w:spacing w:after="0" w:before="0" w:line="240" w:lineRule="auto"/>
              <w:jc w:val="left"/>
            </w:pPr>
            <w:r>
              <w:t>Intended links are established</w:t>
            </w:r>
          </w:p>
        </w:tc>
      </w:tr>
      <w:tr>
        <w:tc>
          <w:tcPr>
            <w:tcW w:type="dxa" w:w="3600"/>
          </w:tcPr>
          <w:p>
            <w:pPr>
              <w:spacing w:after="0" w:before="0" w:line="240" w:lineRule="auto"/>
              <w:jc w:val="left"/>
            </w:pPr>
            <w:r>
              <w:t>Link parameters</w:t>
            </w:r>
          </w:p>
        </w:tc>
        <w:tc>
          <w:tcPr>
            <w:tcW w:type="dxa" w:w="3600"/>
          </w:tcPr>
          <w:p>
            <w:pPr>
              <w:spacing w:after="0" w:before="0" w:line="240" w:lineRule="auto"/>
              <w:jc w:val="left"/>
            </w:pPr>
            <w:r>
              <w:t>Check switch or endpoint status</w:t>
            </w:r>
          </w:p>
        </w:tc>
        <w:tc>
          <w:tcPr>
            <w:tcW w:type="dxa" w:w="3600"/>
          </w:tcPr>
          <w:p>
            <w:pPr>
              <w:spacing w:after="0" w:before="0" w:line="240" w:lineRule="auto"/>
              <w:jc w:val="left"/>
            </w:pPr>
            <w:r>
              <w:t>Expected speed and duplex</w:t>
            </w:r>
          </w:p>
        </w:tc>
      </w:tr>
      <w:tr>
        <w:tc>
          <w:tcPr>
            <w:tcW w:type="dxa" w:w="3600"/>
          </w:tcPr>
          <w:p>
            <w:pPr>
              <w:spacing w:after="0" w:before="0" w:line="240" w:lineRule="auto"/>
              <w:jc w:val="left"/>
            </w:pPr>
            <w:r>
              <w:t>Management access</w:t>
            </w:r>
          </w:p>
        </w:tc>
        <w:tc>
          <w:tcPr>
            <w:tcW w:type="dxa" w:w="3600"/>
          </w:tcPr>
          <w:p>
            <w:pPr>
              <w:spacing w:after="0" w:before="0" w:line="240" w:lineRule="auto"/>
              <w:jc w:val="left"/>
            </w:pPr>
            <w:r>
              <w:t>Connect using approved management method</w:t>
            </w:r>
          </w:p>
        </w:tc>
        <w:tc>
          <w:tcPr>
            <w:tcW w:type="dxa" w:w="3600"/>
          </w:tcPr>
          <w:p>
            <w:pPr>
              <w:spacing w:after="0" w:before="0" w:line="240" w:lineRule="auto"/>
              <w:jc w:val="left"/>
            </w:pPr>
            <w:r>
              <w:t>Authorized access succeeds</w:t>
            </w:r>
          </w:p>
        </w:tc>
      </w:tr>
      <w:tr>
        <w:tc>
          <w:tcPr>
            <w:tcW w:type="dxa" w:w="3600"/>
          </w:tcPr>
          <w:p>
            <w:pPr>
              <w:spacing w:after="0" w:before="0" w:line="240" w:lineRule="auto"/>
              <w:jc w:val="left"/>
            </w:pPr>
            <w:r>
              <w:t>IP configuration</w:t>
            </w:r>
          </w:p>
        </w:tc>
        <w:tc>
          <w:tcPr>
            <w:tcW w:type="dxa" w:w="3600"/>
          </w:tcPr>
          <w:p>
            <w:pPr>
              <w:spacing w:after="0" w:before="0" w:line="240" w:lineRule="auto"/>
              <w:jc w:val="left"/>
            </w:pPr>
            <w:r>
              <w:t>Inspect configuration and connectivity</w:t>
            </w:r>
          </w:p>
        </w:tc>
        <w:tc>
          <w:tcPr>
            <w:tcW w:type="dxa" w:w="3600"/>
          </w:tcPr>
          <w:p>
            <w:pPr>
              <w:spacing w:after="0" w:before="0" w:line="240" w:lineRule="auto"/>
              <w:jc w:val="left"/>
            </w:pPr>
            <w:r>
              <w:t>Correct address, subnet, and gateway where applicable</w:t>
            </w:r>
          </w:p>
        </w:tc>
      </w:tr>
      <w:tr>
        <w:tc>
          <w:tcPr>
            <w:tcW w:type="dxa" w:w="3600"/>
          </w:tcPr>
          <w:p>
            <w:pPr>
              <w:spacing w:after="0" w:before="0" w:line="240" w:lineRule="auto"/>
              <w:jc w:val="left"/>
            </w:pPr>
            <w:r>
              <w:t>VLAN configuration</w:t>
            </w:r>
          </w:p>
        </w:tc>
        <w:tc>
          <w:tcPr>
            <w:tcW w:type="dxa" w:w="3600"/>
          </w:tcPr>
          <w:p>
            <w:pPr>
              <w:spacing w:after="0" w:before="0" w:line="240" w:lineRule="auto"/>
              <w:jc w:val="left"/>
            </w:pPr>
            <w:r>
              <w:t>Review port and VLAN settings</w:t>
            </w:r>
          </w:p>
        </w:tc>
        <w:tc>
          <w:tcPr>
            <w:tcW w:type="dxa" w:w="3600"/>
          </w:tcPr>
          <w:p>
            <w:pPr>
              <w:spacing w:after="0" w:before="0" w:line="240" w:lineRule="auto"/>
              <w:jc w:val="left"/>
            </w:pPr>
            <w:r>
              <w:t>Required traffic is assigned to the correct VLANs</w:t>
            </w:r>
          </w:p>
        </w:tc>
      </w:tr>
      <w:tr>
        <w:tc>
          <w:tcPr>
            <w:tcW w:type="dxa" w:w="3600"/>
          </w:tcPr>
          <w:p>
            <w:pPr>
              <w:spacing w:after="0" w:before="0" w:line="240" w:lineRule="auto"/>
              <w:jc w:val="left"/>
            </w:pPr>
            <w:r>
              <w:t>Redundancy</w:t>
            </w:r>
          </w:p>
        </w:tc>
        <w:tc>
          <w:tcPr>
            <w:tcW w:type="dxa" w:w="3600"/>
          </w:tcPr>
          <w:p>
            <w:pPr>
              <w:spacing w:after="0" w:before="0" w:line="240" w:lineRule="auto"/>
              <w:jc w:val="left"/>
            </w:pPr>
            <w:r>
              <w:t>Review status and perform an approved failover test if required</w:t>
            </w:r>
          </w:p>
        </w:tc>
        <w:tc>
          <w:tcPr>
            <w:tcW w:type="dxa" w:w="3600"/>
          </w:tcPr>
          <w:p>
            <w:pPr>
              <w:spacing w:after="0" w:before="0" w:line="240" w:lineRule="auto"/>
              <w:jc w:val="left"/>
            </w:pPr>
            <w:r>
              <w:t>Behavior meets the approved design</w:t>
            </w:r>
          </w:p>
        </w:tc>
      </w:tr>
      <w:tr>
        <w:tc>
          <w:tcPr>
            <w:tcW w:type="dxa" w:w="3600"/>
          </w:tcPr>
          <w:p>
            <w:pPr>
              <w:spacing w:after="0" w:before="0" w:line="240" w:lineRule="auto"/>
              <w:jc w:val="left"/>
            </w:pPr>
            <w:r>
              <w:t>PLC communication</w:t>
            </w:r>
          </w:p>
        </w:tc>
        <w:tc>
          <w:tcPr>
            <w:tcW w:type="dxa" w:w="3600"/>
          </w:tcPr>
          <w:p>
            <w:pPr>
              <w:spacing w:after="0" w:before="0" w:line="240" w:lineRule="auto"/>
              <w:jc w:val="left"/>
            </w:pPr>
            <w:r>
              <w:t>Use approved PLC diagnostics</w:t>
            </w:r>
          </w:p>
        </w:tc>
        <w:tc>
          <w:tcPr>
            <w:tcW w:type="dxa" w:w="3600"/>
          </w:tcPr>
          <w:p>
            <w:pPr>
              <w:spacing w:after="0" w:before="0" w:line="240" w:lineRule="auto"/>
              <w:jc w:val="left"/>
            </w:pPr>
            <w:r>
              <w:t>Required communication is healthy</w:t>
            </w:r>
          </w:p>
        </w:tc>
      </w:tr>
      <w:tr>
        <w:tc>
          <w:tcPr>
            <w:tcW w:type="dxa" w:w="3600"/>
          </w:tcPr>
          <w:p>
            <w:pPr>
              <w:spacing w:after="0" w:before="0" w:line="240" w:lineRule="auto"/>
              <w:jc w:val="left"/>
            </w:pPr>
            <w:r>
              <w:t>HMI communication</w:t>
            </w:r>
          </w:p>
        </w:tc>
        <w:tc>
          <w:tcPr>
            <w:tcW w:type="dxa" w:w="3600"/>
          </w:tcPr>
          <w:p>
            <w:pPr>
              <w:spacing w:after="0" w:before="0" w:line="240" w:lineRule="auto"/>
              <w:jc w:val="left"/>
            </w:pPr>
            <w:r>
              <w:t>Verify controller connection and relevant screens</w:t>
            </w:r>
          </w:p>
        </w:tc>
        <w:tc>
          <w:tcPr>
            <w:tcW w:type="dxa" w:w="3600"/>
          </w:tcPr>
          <w:p>
            <w:pPr>
              <w:spacing w:after="0" w:before="0" w:line="240" w:lineRule="auto"/>
              <w:jc w:val="left"/>
            </w:pPr>
            <w:r>
              <w:t>Correct controller data is displayed</w:t>
            </w:r>
          </w:p>
        </w:tc>
      </w:tr>
      <w:tr>
        <w:tc>
          <w:tcPr>
            <w:tcW w:type="dxa" w:w="3600"/>
          </w:tcPr>
          <w:p>
            <w:pPr>
              <w:spacing w:after="0" w:before="0" w:line="240" w:lineRule="auto"/>
              <w:jc w:val="left"/>
            </w:pPr>
            <w:r>
              <w:t>IPC or SCADA communication</w:t>
            </w:r>
          </w:p>
        </w:tc>
        <w:tc>
          <w:tcPr>
            <w:tcW w:type="dxa" w:w="3600"/>
          </w:tcPr>
          <w:p>
            <w:pPr>
              <w:spacing w:after="0" w:before="0" w:line="240" w:lineRule="auto"/>
              <w:jc w:val="left"/>
            </w:pPr>
            <w:r>
              <w:t>Verify services and application data</w:t>
            </w:r>
          </w:p>
        </w:tc>
        <w:tc>
          <w:tcPr>
            <w:tcW w:type="dxa" w:w="3600"/>
          </w:tcPr>
          <w:p>
            <w:pPr>
              <w:spacing w:after="0" w:before="0" w:line="240" w:lineRule="auto"/>
              <w:jc w:val="left"/>
            </w:pPr>
            <w:r>
              <w:t>Required data exchange operates</w:t>
            </w:r>
          </w:p>
        </w:tc>
      </w:tr>
      <w:tr>
        <w:tc>
          <w:tcPr>
            <w:tcW w:type="dxa" w:w="3600"/>
          </w:tcPr>
          <w:p>
            <w:pPr>
              <w:spacing w:after="0" w:before="0" w:line="240" w:lineRule="auto"/>
              <w:jc w:val="left"/>
            </w:pPr>
            <w:r>
              <w:t>Monitoring</w:t>
            </w:r>
          </w:p>
        </w:tc>
        <w:tc>
          <w:tcPr>
            <w:tcW w:type="dxa" w:w="3600"/>
          </w:tcPr>
          <w:p>
            <w:pPr>
              <w:spacing w:after="0" w:before="0" w:line="240" w:lineRule="auto"/>
              <w:jc w:val="left"/>
            </w:pPr>
            <w:r>
              <w:t>Check SNMP, syslog, or monitoring platform</w:t>
            </w:r>
          </w:p>
        </w:tc>
        <w:tc>
          <w:tcPr>
            <w:tcW w:type="dxa" w:w="3600"/>
          </w:tcPr>
          <w:p>
            <w:pPr>
              <w:spacing w:after="0" w:before="0" w:line="240" w:lineRule="auto"/>
              <w:jc w:val="left"/>
            </w:pPr>
            <w:r>
              <w:t>Expected status and alarms are received</w:t>
            </w:r>
          </w:p>
        </w:tc>
      </w:tr>
      <w:tr>
        <w:tc>
          <w:tcPr>
            <w:tcW w:type="dxa" w:w="3600"/>
          </w:tcPr>
          <w:p>
            <w:pPr>
              <w:spacing w:after="0" w:before="0" w:line="240" w:lineRule="auto"/>
              <w:jc w:val="left"/>
            </w:pPr>
            <w:r>
              <w:t>Stability</w:t>
            </w:r>
          </w:p>
        </w:tc>
        <w:tc>
          <w:tcPr>
            <w:tcW w:type="dxa" w:w="3600"/>
          </w:tcPr>
          <w:p>
            <w:pPr>
              <w:spacing w:after="0" w:before="0" w:line="240" w:lineRule="auto"/>
              <w:jc w:val="left"/>
            </w:pPr>
            <w:r>
              <w:t>Monitor logs, counters, and applications</w:t>
            </w:r>
          </w:p>
        </w:tc>
        <w:tc>
          <w:tcPr>
            <w:tcW w:type="dxa" w:w="3600"/>
          </w:tcPr>
          <w:p>
            <w:pPr>
              <w:spacing w:after="0" w:before="0" w:line="240" w:lineRule="auto"/>
              <w:jc w:val="left"/>
            </w:pPr>
            <w:r>
              <w:t>No unexplained recurring faults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the work order and asset records</w:t>
            </w:r>
          </w:p>
        </w:tc>
        <w:tc>
          <w:tcPr>
            <w:tcW w:type="dxa" w:w="3600"/>
          </w:tcPr>
          <w:p>
            <w:pPr>
              <w:spacing w:after="0" w:before="0" w:line="240" w:lineRule="auto"/>
              <w:jc w:val="left"/>
            </w:pPr>
            <w:r>
              <w:t>Replacement and configuration details are updated</w:t>
            </w:r>
          </w:p>
        </w:tc>
      </w:tr>
    </w:tbl>
    <w:p/>
    <w:p>
      <w:r>
        <w:t>A green link indicator is only evidence of physical link establishment. It does not prove that the VLAN, protocol, or application configuration is correct.</w:t>
      </w:r>
    </w:p>
    <w:p>
      <w:pPr>
        <w:pStyle w:val="Heading2"/>
      </w:pPr>
      <w:r>
        <w:t>10. Special Considerations for Industrial Devices</w:t>
      </w:r>
    </w:p>
    <w:p>
      <w:pPr>
        <w:pStyle w:val="Heading3"/>
      </w:pPr>
      <w:r>
        <w:t>10.1 PLC communication modules</w:t>
      </w:r>
    </w:p>
    <w:p>
      <w:r>
        <w:t>When replacing a PLC communication module, verify:</w:t>
      </w:r>
    </w:p>
    <w:p>
      <w:pPr>
        <w:pStyle w:val="ListBullet"/>
      </w:pPr>
      <w:r>
        <w:t>Exact compatible part number.</w:t>
      </w:r>
    </w:p>
    <w:p>
      <w:pPr>
        <w:pStyle w:val="ListBullet"/>
      </w:pPr>
      <w:r>
        <w:t>Supported controller family and firmware.</w:t>
      </w:r>
    </w:p>
    <w:p>
      <w:pPr>
        <w:pStyle w:val="ListBullet"/>
      </w:pPr>
      <w:r>
        <w:t>Slot and chassis requirements.</w:t>
      </w:r>
    </w:p>
    <w:p>
      <w:pPr>
        <w:pStyle w:val="ListBullet"/>
      </w:pPr>
      <w:r>
        <w:t>IP address and subnet settings.</w:t>
      </w:r>
    </w:p>
    <w:p>
      <w:pPr>
        <w:pStyle w:val="ListBullet"/>
      </w:pPr>
      <w:r>
        <w:t>Connection paths and communication configuration.</w:t>
      </w:r>
    </w:p>
    <w:p>
      <w:pPr>
        <w:pStyle w:val="ListBullet"/>
      </w:pPr>
      <w:r>
        <w:t>Electronic keying or module identity settings where applicable.</w:t>
      </w:r>
    </w:p>
    <w:p>
      <w:pPr>
        <w:pStyle w:val="ListBullet"/>
      </w:pPr>
      <w:r>
        <w:t>I/O connection behavior.</w:t>
      </w:r>
    </w:p>
    <w:p>
      <w:pPr>
        <w:pStyle w:val="ListBullet"/>
      </w:pPr>
      <w:r>
        <w:t>Controller fault status after replacement.</w:t>
      </w:r>
    </w:p>
    <w:p>
      <w:r>
        <w:t>Some modules retain configuration in the controller project, while others require separate configuration or commissioning. Follow the manufacturer's procedure for the specific platform.</w:t>
      </w:r>
    </w:p>
    <w:p>
      <w:pPr>
        <w:pStyle w:val="Heading3"/>
      </w:pPr>
      <w:r>
        <w:t>10.2 Industrial PCs and network interface cards</w:t>
      </w:r>
    </w:p>
    <w:p>
      <w:r>
        <w:t>When replacing an IPC or NIC, verify:</w:t>
      </w:r>
    </w:p>
    <w:p>
      <w:pPr>
        <w:pStyle w:val="ListBullet"/>
      </w:pPr>
      <w:r>
        <w:t>NIC model and driver.</w:t>
      </w:r>
    </w:p>
    <w:p>
      <w:pPr>
        <w:pStyle w:val="ListBullet"/>
      </w:pPr>
      <w:r>
        <w:t>IP address and subnet.</w:t>
      </w:r>
    </w:p>
    <w:p>
      <w:pPr>
        <w:pStyle w:val="ListBullet"/>
      </w:pPr>
      <w:r>
        <w:t>VLAN tagging and NIC teaming, if used.</w:t>
      </w:r>
    </w:p>
    <w:p>
      <w:pPr>
        <w:pStyle w:val="ListBullet"/>
      </w:pPr>
      <w:r>
        <w:t>Firewall rules and network profile.</w:t>
      </w:r>
    </w:p>
    <w:p>
      <w:pPr>
        <w:pStyle w:val="ListBullet"/>
      </w:pPr>
      <w:r>
        <w:t>Industrial protocol drivers.</w:t>
      </w:r>
    </w:p>
    <w:p>
      <w:pPr>
        <w:pStyle w:val="ListBullet"/>
      </w:pPr>
      <w:r>
        <w:t>Application bindings to a specific adapter.</w:t>
      </w:r>
    </w:p>
    <w:p>
      <w:pPr>
        <w:pStyle w:val="ListBullet"/>
      </w:pPr>
      <w:r>
        <w:t>Network interface names and adapter ordering where relevant.</w:t>
      </w:r>
    </w:p>
    <w:p>
      <w:pPr>
        <w:pStyle w:val="ListBullet"/>
      </w:pPr>
      <w:r>
        <w:t>License or hardware-bound software dependencies.</w:t>
      </w:r>
    </w:p>
    <w:p>
      <w:r>
        <w:t>An application may bind to a particular NIC or adapter configuration. Replacing the interface can therefore affect software communication even when the operating system has network connectivity.</w:t>
      </w:r>
    </w:p>
    <w:p>
      <w:pPr>
        <w:pStyle w:val="Heading3"/>
      </w:pPr>
      <w:r>
        <w:t>10.3 Fiber transceivers and media converters</w:t>
      </w:r>
    </w:p>
    <w:p>
      <w:r>
        <w:t>Check:</w:t>
      </w:r>
    </w:p>
    <w:p>
      <w:pPr>
        <w:pStyle w:val="ListBullet"/>
      </w:pPr>
      <w:r>
        <w:t>Supported transceiver model.</w:t>
      </w:r>
    </w:p>
    <w:p>
      <w:pPr>
        <w:pStyle w:val="ListBullet"/>
      </w:pPr>
      <w:r>
        <w:t>Optical wavelength.</w:t>
      </w:r>
    </w:p>
    <w:p>
      <w:pPr>
        <w:pStyle w:val="ListBullet"/>
      </w:pPr>
      <w:r>
        <w:t>Single-mode or multimode fiber.</w:t>
      </w:r>
    </w:p>
    <w:p>
      <w:pPr>
        <w:pStyle w:val="ListBullet"/>
      </w:pPr>
      <w:r>
        <w:t>Connector type.</w:t>
      </w:r>
    </w:p>
    <w:p>
      <w:pPr>
        <w:pStyle w:val="ListBullet"/>
      </w:pPr>
      <w:r>
        <w:t>Optical transmit and receive limits.</w:t>
      </w:r>
    </w:p>
    <w:p>
      <w:pPr>
        <w:pStyle w:val="ListBullet"/>
      </w:pPr>
      <w:r>
        <w:t>Supported link speed.</w:t>
      </w:r>
    </w:p>
    <w:p>
      <w:pPr>
        <w:pStyle w:val="ListBullet"/>
      </w:pPr>
      <w:r>
        <w:t>Fiber polarity.</w:t>
      </w:r>
    </w:p>
    <w:p>
      <w:pPr>
        <w:pStyle w:val="ListBullet"/>
      </w:pPr>
      <w:r>
        <w:t>Link-loss alarms and optical diagnostics.</w:t>
      </w:r>
    </w:p>
    <w:p>
      <w:r>
        <w:t>After replacement, check both endpoints. A transceiver problem at one end may appear as a link failure at the other.</w:t>
      </w:r>
    </w:p>
    <w:p>
      <w:pPr>
        <w:pStyle w:val="Heading3"/>
      </w:pPr>
      <w:r>
        <w:t>10.4 Redundant switches</w:t>
      </w:r>
    </w:p>
    <w:p>
      <w:r>
        <w:t>Before replacing a switch in a redundant topology:</w:t>
      </w:r>
    </w:p>
    <w:p>
      <w:pPr>
        <w:pStyle w:val="ListBullet"/>
      </w:pPr>
      <w:r>
        <w:t>Confirm which path is active and which is standby.</w:t>
      </w:r>
    </w:p>
    <w:p>
      <w:pPr>
        <w:pStyle w:val="ListBullet"/>
      </w:pPr>
      <w:r>
        <w:t>Verify that the alternate path is healthy.</w:t>
      </w:r>
    </w:p>
    <w:p>
      <w:pPr>
        <w:pStyle w:val="ListBullet"/>
      </w:pPr>
      <w:r>
        <w:t>Review the expected failover behavior.</w:t>
      </w:r>
    </w:p>
    <w:p>
      <w:pPr>
        <w:pStyle w:val="ListBullet"/>
      </w:pPr>
      <w:r>
        <w:t>Follow the approved sequence for isolating and restoring the switch.</w:t>
      </w:r>
    </w:p>
    <w:p>
      <w:pPr>
        <w:pStyle w:val="ListBullet"/>
      </w:pPr>
      <w:r>
        <w:t>Check for loops or unexpected spanning-tree changes.</w:t>
      </w:r>
    </w:p>
    <w:p>
      <w:pPr>
        <w:pStyle w:val="ListBullet"/>
      </w:pPr>
      <w:r>
        <w:t>Validate the topology after restoration.</w:t>
      </w:r>
    </w:p>
    <w:p>
      <w:r>
        <w:t>Do not perform an unplanned failover test during production simply to see whether redundancy works. Testing must follow the approved risk assessment and maintenance window.</w:t>
      </w:r>
    </w:p>
    <w:p>
      <w:pPr>
        <w:pStyle w:val="Heading2"/>
      </w:pPr>
      <w:r>
        <w:t>11. Common Replacement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Installing a visually similar but incompatible device</w:t>
            </w:r>
          </w:p>
        </w:tc>
        <w:tc>
          <w:tcPr>
            <w:tcW w:type="dxa" w:w="3600"/>
          </w:tcPr>
          <w:p>
            <w:pPr>
              <w:spacing w:after="0" w:before="0" w:line="240" w:lineRule="auto"/>
              <w:jc w:val="left"/>
            </w:pPr>
            <w:r>
              <w:t>Unsupported features or failed links</w:t>
            </w:r>
          </w:p>
        </w:tc>
        <w:tc>
          <w:tcPr>
            <w:tcW w:type="dxa" w:w="3600"/>
          </w:tcPr>
          <w:p>
            <w:pPr>
              <w:spacing w:after="0" w:before="0" w:line="240" w:lineRule="auto"/>
              <w:jc w:val="left"/>
            </w:pPr>
            <w:r>
              <w:t>Verify exact specifications and approved alternatives</w:t>
            </w:r>
          </w:p>
        </w:tc>
      </w:tr>
      <w:tr>
        <w:tc>
          <w:tcPr>
            <w:tcW w:type="dxa" w:w="3600"/>
          </w:tcPr>
          <w:p>
            <w:pPr>
              <w:spacing w:after="0" w:before="0" w:line="240" w:lineRule="auto"/>
              <w:jc w:val="left"/>
            </w:pPr>
            <w:r>
              <w:t>Connecting cables without labels</w:t>
            </w:r>
          </w:p>
        </w:tc>
        <w:tc>
          <w:tcPr>
            <w:tcW w:type="dxa" w:w="3600"/>
          </w:tcPr>
          <w:p>
            <w:pPr>
              <w:spacing w:after="0" w:before="0" w:line="240" w:lineRule="auto"/>
              <w:jc w:val="left"/>
            </w:pPr>
            <w:r>
              <w:t>Incorrect network connections</w:t>
            </w:r>
          </w:p>
        </w:tc>
        <w:tc>
          <w:tcPr>
            <w:tcW w:type="dxa" w:w="3600"/>
          </w:tcPr>
          <w:p>
            <w:pPr>
              <w:spacing w:after="0" w:before="0" w:line="240" w:lineRule="auto"/>
              <w:jc w:val="left"/>
            </w:pPr>
            <w:r>
              <w:t>Record and label every connection</w:t>
            </w:r>
          </w:p>
        </w:tc>
      </w:tr>
      <w:tr>
        <w:tc>
          <w:tcPr>
            <w:tcW w:type="dxa" w:w="3600"/>
          </w:tcPr>
          <w:p>
            <w:pPr>
              <w:spacing w:after="0" w:before="0" w:line="240" w:lineRule="auto"/>
              <w:jc w:val="left"/>
            </w:pPr>
            <w:r>
              <w:t>Reusing the wrong static IP</w:t>
            </w:r>
          </w:p>
        </w:tc>
        <w:tc>
          <w:tcPr>
            <w:tcW w:type="dxa" w:w="3600"/>
          </w:tcPr>
          <w:p>
            <w:pPr>
              <w:spacing w:after="0" w:before="0" w:line="240" w:lineRule="auto"/>
              <w:jc w:val="left"/>
            </w:pPr>
            <w:r>
              <w:t>Duplicate IP conflict</w:t>
            </w:r>
          </w:p>
        </w:tc>
        <w:tc>
          <w:tcPr>
            <w:tcW w:type="dxa" w:w="3600"/>
          </w:tcPr>
          <w:p>
            <w:pPr>
              <w:spacing w:after="0" w:before="0" w:line="240" w:lineRule="auto"/>
              <w:jc w:val="left"/>
            </w:pPr>
            <w:r>
              <w:t>Verify the approved address before connecting</w:t>
            </w:r>
          </w:p>
        </w:tc>
      </w:tr>
      <w:tr>
        <w:tc>
          <w:tcPr>
            <w:tcW w:type="dxa" w:w="3600"/>
          </w:tcPr>
          <w:p>
            <w:pPr>
              <w:spacing w:after="0" w:before="0" w:line="240" w:lineRule="auto"/>
              <w:jc w:val="left"/>
            </w:pPr>
            <w:r>
              <w:t>Importing an incompatible configuration</w:t>
            </w:r>
          </w:p>
        </w:tc>
        <w:tc>
          <w:tcPr>
            <w:tcW w:type="dxa" w:w="3600"/>
          </w:tcPr>
          <w:p>
            <w:pPr>
              <w:spacing w:after="0" w:before="0" w:line="240" w:lineRule="auto"/>
              <w:jc w:val="left"/>
            </w:pPr>
            <w:r>
              <w:t>Rejected settings or incorrect behavior</w:t>
            </w:r>
          </w:p>
        </w:tc>
        <w:tc>
          <w:tcPr>
            <w:tcW w:type="dxa" w:w="3600"/>
          </w:tcPr>
          <w:p>
            <w:pPr>
              <w:spacing w:after="0" w:before="0" w:line="240" w:lineRule="auto"/>
              <w:jc w:val="left"/>
            </w:pPr>
            <w:r>
              <w:t>Check model and firmware compatibility</w:t>
            </w:r>
          </w:p>
        </w:tc>
      </w:tr>
      <w:tr>
        <w:tc>
          <w:tcPr>
            <w:tcW w:type="dxa" w:w="3600"/>
          </w:tcPr>
          <w:p>
            <w:pPr>
              <w:spacing w:after="0" w:before="0" w:line="240" w:lineRule="auto"/>
              <w:jc w:val="left"/>
            </w:pPr>
            <w:r>
              <w:t>Changing multiple variables at once</w:t>
            </w:r>
          </w:p>
        </w:tc>
        <w:tc>
          <w:tcPr>
            <w:tcW w:type="dxa" w:w="3600"/>
          </w:tcPr>
          <w:p>
            <w:pPr>
              <w:spacing w:after="0" w:before="0" w:line="240" w:lineRule="auto"/>
              <w:jc w:val="left"/>
            </w:pPr>
            <w:r>
              <w:t>Difficult fault isolation</w:t>
            </w:r>
          </w:p>
        </w:tc>
        <w:tc>
          <w:tcPr>
            <w:tcW w:type="dxa" w:w="3600"/>
          </w:tcPr>
          <w:p>
            <w:pPr>
              <w:spacing w:after="0" w:before="0" w:line="240" w:lineRule="auto"/>
              <w:jc w:val="left"/>
            </w:pPr>
            <w:r>
              <w:t>Make controlled changes and validate each stage</w:t>
            </w:r>
          </w:p>
        </w:tc>
      </w:tr>
      <w:tr>
        <w:tc>
          <w:tcPr>
            <w:tcW w:type="dxa" w:w="3600"/>
          </w:tcPr>
          <w:p>
            <w:pPr>
              <w:spacing w:after="0" w:before="0" w:line="240" w:lineRule="auto"/>
              <w:jc w:val="left"/>
            </w:pPr>
            <w:r>
              <w:t>Ignoring transceiver compatibility</w:t>
            </w:r>
          </w:p>
        </w:tc>
        <w:tc>
          <w:tcPr>
            <w:tcW w:type="dxa" w:w="3600"/>
          </w:tcPr>
          <w:p>
            <w:pPr>
              <w:spacing w:after="0" w:before="0" w:line="240" w:lineRule="auto"/>
              <w:jc w:val="left"/>
            </w:pPr>
            <w:r>
              <w:t>Fiber link failure</w:t>
            </w:r>
          </w:p>
        </w:tc>
        <w:tc>
          <w:tcPr>
            <w:tcW w:type="dxa" w:w="3600"/>
          </w:tcPr>
          <w:p>
            <w:pPr>
              <w:spacing w:after="0" w:before="0" w:line="240" w:lineRule="auto"/>
              <w:jc w:val="left"/>
            </w:pPr>
            <w:r>
              <w:t>Verify optics and fiber specifications</w:t>
            </w:r>
          </w:p>
        </w:tc>
      </w:tr>
      <w:tr>
        <w:tc>
          <w:tcPr>
            <w:tcW w:type="dxa" w:w="3600"/>
          </w:tcPr>
          <w:p>
            <w:pPr>
              <w:spacing w:after="0" w:before="0" w:line="240" w:lineRule="auto"/>
              <w:jc w:val="left"/>
            </w:pPr>
            <w:r>
              <w:t>Forgetting VLAN configuration</w:t>
            </w:r>
          </w:p>
        </w:tc>
        <w:tc>
          <w:tcPr>
            <w:tcW w:type="dxa" w:w="3600"/>
          </w:tcPr>
          <w:p>
            <w:pPr>
              <w:spacing w:after="0" w:before="0" w:line="240" w:lineRule="auto"/>
              <w:jc w:val="left"/>
            </w:pPr>
            <w:r>
              <w:t>Devices appear connected but cannot communicate</w:t>
            </w:r>
          </w:p>
        </w:tc>
        <w:tc>
          <w:tcPr>
            <w:tcW w:type="dxa" w:w="3600"/>
          </w:tcPr>
          <w:p>
            <w:pPr>
              <w:spacing w:after="0" w:before="0" w:line="240" w:lineRule="auto"/>
              <w:jc w:val="left"/>
            </w:pPr>
            <w:r>
              <w:t>Validate VLAN and trunk settings</w:t>
            </w:r>
          </w:p>
        </w:tc>
      </w:tr>
      <w:tr>
        <w:tc>
          <w:tcPr>
            <w:tcW w:type="dxa" w:w="3600"/>
          </w:tcPr>
          <w:p>
            <w:pPr>
              <w:spacing w:after="0" w:before="0" w:line="240" w:lineRule="auto"/>
              <w:jc w:val="left"/>
            </w:pPr>
            <w:r>
              <w:t>Leaving default credentials enabled</w:t>
            </w:r>
          </w:p>
        </w:tc>
        <w:tc>
          <w:tcPr>
            <w:tcW w:type="dxa" w:w="3600"/>
          </w:tcPr>
          <w:p>
            <w:pPr>
              <w:spacing w:after="0" w:before="0" w:line="240" w:lineRule="auto"/>
              <w:jc w:val="left"/>
            </w:pPr>
            <w:r>
              <w:t>Security exposure</w:t>
            </w:r>
          </w:p>
        </w:tc>
        <w:tc>
          <w:tcPr>
            <w:tcW w:type="dxa" w:w="3600"/>
          </w:tcPr>
          <w:p>
            <w:pPr>
              <w:spacing w:after="0" w:before="0" w:line="240" w:lineRule="auto"/>
              <w:jc w:val="left"/>
            </w:pPr>
            <w:r>
              <w:t>Apply approved access controls</w:t>
            </w:r>
          </w:p>
        </w:tc>
      </w:tr>
      <w:tr>
        <w:tc>
          <w:tcPr>
            <w:tcW w:type="dxa" w:w="3600"/>
          </w:tcPr>
          <w:p>
            <w:pPr>
              <w:spacing w:after="0" w:before="0" w:line="240" w:lineRule="auto"/>
              <w:jc w:val="left"/>
            </w:pPr>
            <w:r>
              <w:t>Skipping application tests</w:t>
            </w:r>
          </w:p>
        </w:tc>
        <w:tc>
          <w:tcPr>
            <w:tcW w:type="dxa" w:w="3600"/>
          </w:tcPr>
          <w:p>
            <w:pPr>
              <w:spacing w:after="0" w:before="0" w:line="240" w:lineRule="auto"/>
              <w:jc w:val="left"/>
            </w:pPr>
            <w:r>
              <w:t>Hidden communication failures</w:t>
            </w:r>
          </w:p>
        </w:tc>
        <w:tc>
          <w:tcPr>
            <w:tcW w:type="dxa" w:w="3600"/>
          </w:tcPr>
          <w:p>
            <w:pPr>
              <w:spacing w:after="0" w:before="0" w:line="240" w:lineRule="auto"/>
              <w:jc w:val="left"/>
            </w:pPr>
            <w:r>
              <w:t>Validate the end-to-end function</w:t>
            </w:r>
          </w:p>
        </w:tc>
      </w:tr>
      <w:tr>
        <w:tc>
          <w:tcPr>
            <w:tcW w:type="dxa" w:w="3600"/>
          </w:tcPr>
          <w:p>
            <w:pPr>
              <w:spacing w:after="0" w:before="0" w:line="240" w:lineRule="auto"/>
              <w:jc w:val="left"/>
            </w:pPr>
            <w:r>
              <w:t>Failing to update the asset register</w:t>
            </w:r>
          </w:p>
        </w:tc>
        <w:tc>
          <w:tcPr>
            <w:tcW w:type="dxa" w:w="3600"/>
          </w:tcPr>
          <w:p>
            <w:pPr>
              <w:spacing w:after="0" w:before="0" w:line="240" w:lineRule="auto"/>
              <w:jc w:val="left"/>
            </w:pPr>
            <w:r>
              <w:t>Future maintenance confusion</w:t>
            </w:r>
          </w:p>
        </w:tc>
        <w:tc>
          <w:tcPr>
            <w:tcW w:type="dxa" w:w="3600"/>
          </w:tcPr>
          <w:p>
            <w:pPr>
              <w:spacing w:after="0" w:before="0" w:line="240" w:lineRule="auto"/>
              <w:jc w:val="left"/>
            </w:pPr>
            <w:r>
              <w:t>Complete documentation before closure</w:t>
            </w:r>
          </w:p>
        </w:tc>
      </w:tr>
    </w:tbl>
    <w:p/>
    <w:p>
      <w:pPr>
        <w:pStyle w:val="Heading2"/>
      </w:pPr>
      <w:r>
        <w:t>12. Practical Case Study: Managed Switch Replacement</w:t>
      </w:r>
    </w:p>
    <w:p>
      <w:r>
        <w:t>Situation: A managed switch serving a machine network fails. A compatible replacement is installed, but several PLCs cannot communicate with the HMI.</w:t>
      </w:r>
    </w:p>
    <w:p>
      <w:r>
        <w:t>Initial observations:</w:t>
      </w:r>
    </w:p>
    <w:p>
      <w:pPr>
        <w:pStyle w:val="ListBullet"/>
      </w:pPr>
      <w:r>
        <w:t>The replacement switch powers on normally.</w:t>
      </w:r>
    </w:p>
    <w:p>
      <w:pPr>
        <w:pStyle w:val="ListBullet"/>
      </w:pPr>
      <w:r>
        <w:t>Several ports show link.</w:t>
      </w:r>
    </w:p>
    <w:p>
      <w:pPr>
        <w:pStyle w:val="ListBullet"/>
      </w:pPr>
      <w:r>
        <w:t>The HMI can access some devices but not others.</w:t>
      </w:r>
    </w:p>
    <w:p>
      <w:pPr>
        <w:pStyle w:val="ListBullet"/>
      </w:pPr>
      <w:r>
        <w:t>The replacement's default configuration is active.</w:t>
      </w:r>
    </w:p>
    <w:p>
      <w:r>
        <w:t>Investigation:</w:t>
      </w:r>
    </w:p>
    <w:p>
      <w:pPr>
        <w:tabs>
          <w:tab w:pos="403" w:val="left"/>
        </w:tabs>
        <w:spacing w:after="40" w:line="276" w:lineRule="auto"/>
        <w:ind w:left="403" w:hanging="403"/>
        <w:jc w:val="left"/>
      </w:pPr>
      <w:r>
        <w:rPr>
          <w:color w:val="1A2E4A"/>
        </w:rPr>
        <w:t>1.</w:t>
        <w:tab/>
      </w:r>
      <w:r>
        <w:t>Compare the replacement's VLAN configuration with the approved design.</w:t>
      </w:r>
    </w:p>
    <w:p>
      <w:pPr>
        <w:tabs>
          <w:tab w:pos="403" w:val="left"/>
        </w:tabs>
        <w:spacing w:after="40" w:line="276" w:lineRule="auto"/>
        <w:ind w:left="403" w:hanging="403"/>
        <w:jc w:val="left"/>
      </w:pPr>
      <w:r>
        <w:rPr>
          <w:color w:val="1A2E4A"/>
        </w:rPr>
        <w:t>2.</w:t>
        <w:tab/>
      </w:r>
      <w:r>
        <w:t>Check access-port VLAN assignments.</w:t>
      </w:r>
    </w:p>
    <w:p>
      <w:pPr>
        <w:tabs>
          <w:tab w:pos="403" w:val="left"/>
        </w:tabs>
        <w:spacing w:after="40" w:line="276" w:lineRule="auto"/>
        <w:ind w:left="403" w:hanging="403"/>
        <w:jc w:val="left"/>
      </w:pPr>
      <w:r>
        <w:rPr>
          <w:color w:val="1A2E4A"/>
        </w:rPr>
        <w:t>3.</w:t>
        <w:tab/>
      </w:r>
      <w:r>
        <w:t>Verify the uplink's trunk settings and allowed VLANs.</w:t>
      </w:r>
    </w:p>
    <w:p>
      <w:pPr>
        <w:tabs>
          <w:tab w:pos="403" w:val="left"/>
        </w:tabs>
        <w:spacing w:after="40" w:line="276" w:lineRule="auto"/>
        <w:ind w:left="403" w:hanging="403"/>
        <w:jc w:val="left"/>
      </w:pPr>
      <w:r>
        <w:rPr>
          <w:color w:val="1A2E4A"/>
        </w:rPr>
        <w:t>4.</w:t>
        <w:tab/>
      </w:r>
      <w:r>
        <w:t>Check the management address and confirm that it is unique.</w:t>
      </w:r>
    </w:p>
    <w:p>
      <w:pPr>
        <w:tabs>
          <w:tab w:pos="403" w:val="left"/>
        </w:tabs>
        <w:spacing w:after="40" w:line="276" w:lineRule="auto"/>
        <w:ind w:left="403" w:hanging="403"/>
        <w:jc w:val="left"/>
      </w:pPr>
      <w:r>
        <w:rPr>
          <w:color w:val="1A2E4A"/>
        </w:rPr>
        <w:t>5.</w:t>
        <w:tab/>
      </w:r>
      <w:r>
        <w:t>Review the redundancy and spanning-tree state.</w:t>
      </w:r>
    </w:p>
    <w:p>
      <w:pPr>
        <w:tabs>
          <w:tab w:pos="403" w:val="left"/>
        </w:tabs>
        <w:spacing w:after="40" w:line="276" w:lineRule="auto"/>
        <w:ind w:left="403" w:hanging="403"/>
        <w:jc w:val="left"/>
      </w:pPr>
      <w:r>
        <w:rPr>
          <w:color w:val="1A2E4A"/>
        </w:rPr>
        <w:t>6.</w:t>
        <w:tab/>
      </w:r>
      <w:r>
        <w:t>Compare the configuration against the saved source configuration.</w:t>
      </w:r>
    </w:p>
    <w:p>
      <w:r>
        <w:t>Confirmed cause: The replacement's default port configuration did not match the original switch's VLAN assignments.</w:t>
      </w:r>
    </w:p>
    <w:p>
      <w:r>
        <w:t>Corrective action:</w:t>
      </w:r>
    </w:p>
    <w:p>
      <w:pPr>
        <w:pStyle w:val="ListBullet"/>
      </w:pPr>
      <w:r>
        <w:t>Apply the approved VLAN and port configuration.</w:t>
      </w:r>
    </w:p>
    <w:p>
      <w:pPr>
        <w:pStyle w:val="ListBullet"/>
      </w:pPr>
      <w:r>
        <w:t>Restore the intended uplink settings.</w:t>
      </w:r>
    </w:p>
    <w:p>
      <w:pPr>
        <w:pStyle w:val="ListBullet"/>
      </w:pPr>
      <w:r>
        <w:t>Confirm management access.</w:t>
      </w:r>
    </w:p>
    <w:p>
      <w:pPr>
        <w:pStyle w:val="ListBullet"/>
      </w:pPr>
      <w:r>
        <w:t>Verify PLC-to-HMI communication and other affected applications.</w:t>
      </w:r>
    </w:p>
    <w:p>
      <w:pPr>
        <w:pStyle w:val="ListBullet"/>
      </w:pPr>
      <w:r>
        <w:t>Monitor switch logs and relevant counters.</w:t>
      </w:r>
    </w:p>
    <w:p>
      <w:pPr>
        <w:pStyle w:val="ListBullet"/>
      </w:pPr>
      <w:r>
        <w:t>Update the replacement record.</w:t>
      </w:r>
    </w:p>
    <w:p>
      <w:r>
        <w:t>Lesson: Physical connectivity is necessary but insufficient. A network device must be configured to perform the same intended role as the original.</w:t>
      </w:r>
    </w:p>
    <w:p>
      <w:pPr>
        <w:pStyle w:val="Heading2"/>
      </w:pPr>
      <w:r>
        <w:t>13. Practical Case Study: Replacement Switch Creates an IP Conflict</w:t>
      </w:r>
    </w:p>
    <w:p>
      <w:r>
        <w:t>Situation: A spare managed switch is installed, and network communication becomes intermittent.</w:t>
      </w:r>
    </w:p>
    <w:p>
      <w:r>
        <w:t>Initial observations:</w:t>
      </w:r>
    </w:p>
    <w:p>
      <w:pPr>
        <w:pStyle w:val="ListBullet"/>
      </w:pPr>
      <w:r>
        <w:t>The spare switch retains a management IP from previous testing.</w:t>
      </w:r>
    </w:p>
    <w:p>
      <w:pPr>
        <w:pStyle w:val="ListBullet"/>
      </w:pPr>
      <w:r>
        <w:t>That address is already assigned to another active device.</w:t>
      </w:r>
    </w:p>
    <w:p>
      <w:pPr>
        <w:pStyle w:val="ListBullet"/>
      </w:pPr>
      <w:r>
        <w:t>Management access behaves inconsistently.</w:t>
      </w:r>
    </w:p>
    <w:p>
      <w:r>
        <w:t>Confirmed cause: The replacement switch has a duplicate management IP address.</w:t>
      </w:r>
    </w:p>
    <w:p>
      <w:r>
        <w:t>Corrective action:</w:t>
      </w:r>
    </w:p>
    <w:p>
      <w:pPr>
        <w:tabs>
          <w:tab w:pos="403" w:val="left"/>
        </w:tabs>
        <w:spacing w:after="40" w:line="276" w:lineRule="auto"/>
        <w:ind w:left="403" w:hanging="403"/>
        <w:jc w:val="left"/>
      </w:pPr>
      <w:r>
        <w:rPr>
          <w:color w:val="1A2E4A"/>
        </w:rPr>
        <w:t>1.</w:t>
        <w:tab/>
      </w:r>
      <w:r>
        <w:t>Isolate or access the replacement using an approved method.</w:t>
      </w:r>
    </w:p>
    <w:p>
      <w:pPr>
        <w:tabs>
          <w:tab w:pos="403" w:val="left"/>
        </w:tabs>
        <w:spacing w:after="40" w:line="276" w:lineRule="auto"/>
        <w:ind w:left="403" w:hanging="403"/>
        <w:jc w:val="left"/>
      </w:pPr>
      <w:r>
        <w:rPr>
          <w:color w:val="1A2E4A"/>
        </w:rPr>
        <w:t>2.</w:t>
        <w:tab/>
      </w:r>
      <w:r>
        <w:t>Verify the management address of both devices.</w:t>
      </w:r>
    </w:p>
    <w:p>
      <w:pPr>
        <w:tabs>
          <w:tab w:pos="403" w:val="left"/>
        </w:tabs>
        <w:spacing w:after="40" w:line="276" w:lineRule="auto"/>
        <w:ind w:left="403" w:hanging="403"/>
        <w:jc w:val="left"/>
      </w:pPr>
      <w:r>
        <w:rPr>
          <w:color w:val="1A2E4A"/>
        </w:rPr>
        <w:t>3.</w:t>
        <w:tab/>
      </w:r>
      <w:r>
        <w:t>Assign the replacement its approved unique address.</w:t>
      </w:r>
    </w:p>
    <w:p>
      <w:pPr>
        <w:tabs>
          <w:tab w:pos="403" w:val="left"/>
        </w:tabs>
        <w:spacing w:after="40" w:line="276" w:lineRule="auto"/>
        <w:ind w:left="403" w:hanging="403"/>
        <w:jc w:val="left"/>
      </w:pPr>
      <w:r>
        <w:rPr>
          <w:color w:val="1A2E4A"/>
        </w:rPr>
        <w:t>4.</w:t>
        <w:tab/>
      </w:r>
      <w:r>
        <w:t>Verify subnet, management VLAN, and gateway settings.</w:t>
      </w:r>
    </w:p>
    <w:p>
      <w:pPr>
        <w:tabs>
          <w:tab w:pos="403" w:val="left"/>
        </w:tabs>
        <w:spacing w:after="40" w:line="276" w:lineRule="auto"/>
        <w:ind w:left="403" w:hanging="403"/>
        <w:jc w:val="left"/>
      </w:pPr>
      <w:r>
        <w:rPr>
          <w:color w:val="1A2E4A"/>
        </w:rPr>
        <w:t>5.</w:t>
        <w:tab/>
      </w:r>
      <w:r>
        <w:t>Confirm the intended device's MAC-to-IP mapping.</w:t>
      </w:r>
    </w:p>
    <w:p>
      <w:pPr>
        <w:tabs>
          <w:tab w:pos="403" w:val="left"/>
        </w:tabs>
        <w:spacing w:after="40" w:line="276" w:lineRule="auto"/>
        <w:ind w:left="403" w:hanging="403"/>
        <w:jc w:val="left"/>
      </w:pPr>
      <w:r>
        <w:rPr>
          <w:color w:val="1A2E4A"/>
        </w:rPr>
        <w:t>6.</w:t>
        <w:tab/>
      </w:r>
      <w:r>
        <w:t>Test management and production communication.</w:t>
      </w:r>
    </w:p>
    <w:p>
      <w:pPr>
        <w:tabs>
          <w:tab w:pos="403" w:val="left"/>
        </w:tabs>
        <w:spacing w:after="40" w:line="276" w:lineRule="auto"/>
        <w:ind w:left="403" w:hanging="403"/>
        <w:jc w:val="left"/>
      </w:pPr>
      <w:r>
        <w:rPr>
          <w:color w:val="1A2E4A"/>
        </w:rPr>
        <w:t>7.</w:t>
        <w:tab/>
      </w:r>
      <w:r>
        <w:t>Update the IP register and spare-device preparation procedure.</w:t>
      </w:r>
    </w:p>
    <w:p>
      <w:r>
        <w:t>Lesson: A spare device must be checked for retained configuration before it is connected to a live network.</w:t>
      </w:r>
    </w:p>
    <w:p>
      <w:pPr>
        <w:pStyle w:val="Heading2"/>
      </w:pPr>
      <w:r>
        <w:t>14. Spare Device Preparation and Standardization</w:t>
      </w:r>
    </w:p>
    <w:p>
      <w:r>
        <w:t>A spare network device should be prepared before it is required during a breakdown. Emergency configuration under production pressure increases the risk of incorrect connections and missed settings.</w:t>
      </w:r>
    </w:p>
    <w:p>
      <w:r>
        <w:t>Recommended preparation:</w:t>
      </w:r>
    </w:p>
    <w:p>
      <w:pPr>
        <w:pStyle w:val="ListBullet"/>
      </w:pPr>
      <w:r>
        <w:t>Verify the spare's part number and hardware revision.</w:t>
      </w:r>
    </w:p>
    <w:p>
      <w:pPr>
        <w:pStyle w:val="ListBullet"/>
      </w:pPr>
      <w:r>
        <w:t>Check physical condition and power requirements.</w:t>
      </w:r>
    </w:p>
    <w:p>
      <w:pPr>
        <w:pStyle w:val="ListBullet"/>
      </w:pPr>
      <w:r>
        <w:t>Confirm approved firmware and licensing.</w:t>
      </w:r>
    </w:p>
    <w:p>
      <w:pPr>
        <w:pStyle w:val="ListBullet"/>
      </w:pPr>
      <w:r>
        <w:t>Remove unauthorized or obsolete configuration.</w:t>
      </w:r>
    </w:p>
    <w:p>
      <w:pPr>
        <w:pStyle w:val="ListBullet"/>
      </w:pPr>
      <w:r>
        <w:t>Store a clean baseline configuration.</w:t>
      </w:r>
    </w:p>
    <w:p>
      <w:pPr>
        <w:pStyle w:val="ListBullet"/>
      </w:pPr>
      <w:r>
        <w:t>Document how the device will receive its site-specific configuration.</w:t>
      </w:r>
    </w:p>
    <w:p>
      <w:pPr>
        <w:pStyle w:val="ListBullet"/>
      </w:pPr>
      <w:r>
        <w:t>Verify that management credentials are handled securely.</w:t>
      </w:r>
    </w:p>
    <w:p>
      <w:pPr>
        <w:pStyle w:val="ListBullet"/>
      </w:pPr>
      <w:r>
        <w:t>Label the spare and record its storage location.</w:t>
      </w:r>
    </w:p>
    <w:p>
      <w:pPr>
        <w:pStyle w:val="ListBullet"/>
      </w:pPr>
      <w:r>
        <w:t>Confirm required cables, transceivers, adapters, and mounting accessories are available.</w:t>
      </w:r>
    </w:p>
    <w:p>
      <w:pPr>
        <w:pStyle w:val="ListBullet"/>
      </w:pPr>
      <w:r>
        <w:t>Define a quick commissioning and validation procedure.</w:t>
      </w:r>
    </w:p>
    <w:p>
      <w:r>
        <w:t>Do not assign every spare device the same active management IP address and then connect multiple spares to the production network. Keep bench-test addressing separate from production addressing and verify uniqueness before connection.</w:t>
      </w:r>
    </w:p>
    <w:p>
      <w:pPr>
        <w:pStyle w:val="Heading2"/>
      </w:pPr>
      <w:r>
        <w:t>15. Device Replacement Record Template</w:t>
      </w:r>
    </w:p>
    <w:p>
      <w:r>
        <w:t>Use a standard record for each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Work order</w:t>
            </w:r>
          </w:p>
        </w:tc>
        <w:tc>
          <w:tcPr>
            <w:tcW w:type="dxa" w:w="5400"/>
          </w:tcPr>
          <w:p>
            <w:pPr>
              <w:spacing w:after="0" w:before="0" w:line="240" w:lineRule="auto"/>
              <w:jc w:val="left"/>
            </w:pPr>
            <w:r>
              <w:t>Maintenance work-order number</w:t>
            </w:r>
          </w:p>
        </w:tc>
      </w:tr>
      <w:tr>
        <w:tc>
          <w:tcPr>
            <w:tcW w:type="dxa" w:w="5400"/>
          </w:tcPr>
          <w:p>
            <w:pPr>
              <w:spacing w:after="0" w:before="0" w:line="240" w:lineRule="auto"/>
              <w:jc w:val="left"/>
            </w:pPr>
            <w:r>
              <w:t>Equipment location</w:t>
            </w:r>
          </w:p>
        </w:tc>
        <w:tc>
          <w:tcPr>
            <w:tcW w:type="dxa" w:w="5400"/>
          </w:tcPr>
          <w:p>
            <w:pPr>
              <w:spacing w:after="0" w:before="0" w:line="240" w:lineRule="auto"/>
              <w:jc w:val="left"/>
            </w:pPr>
            <w:r>
              <w:t>Machine, line, cabinet, and network segment</w:t>
            </w:r>
          </w:p>
        </w:tc>
      </w:tr>
      <w:tr>
        <w:tc>
          <w:tcPr>
            <w:tcW w:type="dxa" w:w="5400"/>
          </w:tcPr>
          <w:p>
            <w:pPr>
              <w:spacing w:after="0" w:before="0" w:line="240" w:lineRule="auto"/>
              <w:jc w:val="left"/>
            </w:pPr>
            <w:r>
              <w:t>Original device</w:t>
            </w:r>
          </w:p>
        </w:tc>
        <w:tc>
          <w:tcPr>
            <w:tcW w:type="dxa" w:w="5400"/>
          </w:tcPr>
          <w:p>
            <w:pPr>
              <w:spacing w:after="0" w:before="0" w:line="240" w:lineRule="auto"/>
              <w:jc w:val="left"/>
            </w:pPr>
            <w:r>
              <w:t>Manufacturer, model, part number, and serial number</w:t>
            </w:r>
          </w:p>
        </w:tc>
      </w:tr>
      <w:tr>
        <w:tc>
          <w:tcPr>
            <w:tcW w:type="dxa" w:w="5400"/>
          </w:tcPr>
          <w:p>
            <w:pPr>
              <w:spacing w:after="0" w:before="0" w:line="240" w:lineRule="auto"/>
              <w:jc w:val="left"/>
            </w:pPr>
            <w:r>
              <w:t>Replacement device</w:t>
            </w:r>
          </w:p>
        </w:tc>
        <w:tc>
          <w:tcPr>
            <w:tcW w:type="dxa" w:w="5400"/>
          </w:tcPr>
          <w:p>
            <w:pPr>
              <w:spacing w:after="0" w:before="0" w:line="240" w:lineRule="auto"/>
              <w:jc w:val="left"/>
            </w:pPr>
            <w:r>
              <w:t>Manufacturer, model, part number, and serial number</w:t>
            </w:r>
          </w:p>
        </w:tc>
      </w:tr>
      <w:tr>
        <w:tc>
          <w:tcPr>
            <w:tcW w:type="dxa" w:w="5400"/>
          </w:tcPr>
          <w:p>
            <w:pPr>
              <w:spacing w:after="0" w:before="0" w:line="240" w:lineRule="auto"/>
              <w:jc w:val="left"/>
            </w:pPr>
            <w:r>
              <w:t>Failure description</w:t>
            </w:r>
          </w:p>
        </w:tc>
        <w:tc>
          <w:tcPr>
            <w:tcW w:type="dxa" w:w="5400"/>
          </w:tcPr>
          <w:p>
            <w:pPr>
              <w:spacing w:after="0" w:before="0" w:line="240" w:lineRule="auto"/>
              <w:jc w:val="left"/>
            </w:pPr>
            <w:r>
              <w:t>Observed symptom and fault time</w:t>
            </w:r>
          </w:p>
        </w:tc>
      </w:tr>
      <w:tr>
        <w:tc>
          <w:tcPr>
            <w:tcW w:type="dxa" w:w="5400"/>
          </w:tcPr>
          <w:p>
            <w:pPr>
              <w:spacing w:after="0" w:before="0" w:line="240" w:lineRule="auto"/>
              <w:jc w:val="left"/>
            </w:pPr>
            <w:r>
              <w:t>Confirmed root cause</w:t>
            </w:r>
          </w:p>
        </w:tc>
        <w:tc>
          <w:tcPr>
            <w:tcW w:type="dxa" w:w="5400"/>
          </w:tcPr>
          <w:p>
            <w:pPr>
              <w:spacing w:after="0" w:before="0" w:line="240" w:lineRule="auto"/>
              <w:jc w:val="left"/>
            </w:pPr>
            <w:r>
              <w:t>Evidence supporting the diagnosis</w:t>
            </w:r>
          </w:p>
        </w:tc>
      </w:tr>
      <w:tr>
        <w:tc>
          <w:tcPr>
            <w:tcW w:type="dxa" w:w="5400"/>
          </w:tcPr>
          <w:p>
            <w:pPr>
              <w:spacing w:after="0" w:before="0" w:line="240" w:lineRule="auto"/>
              <w:jc w:val="left"/>
            </w:pPr>
            <w:r>
              <w:t>Original configuration</w:t>
            </w:r>
          </w:p>
        </w:tc>
        <w:tc>
          <w:tcPr>
            <w:tcW w:type="dxa" w:w="5400"/>
          </w:tcPr>
          <w:p>
            <w:pPr>
              <w:spacing w:after="0" w:before="0" w:line="240" w:lineRule="auto"/>
              <w:jc w:val="left"/>
            </w:pPr>
            <w:r>
              <w:t>Backup location and revision</w:t>
            </w:r>
          </w:p>
        </w:tc>
      </w:tr>
      <w:tr>
        <w:tc>
          <w:tcPr>
            <w:tcW w:type="dxa" w:w="5400"/>
          </w:tcPr>
          <w:p>
            <w:pPr>
              <w:spacing w:after="0" w:before="0" w:line="240" w:lineRule="auto"/>
              <w:jc w:val="left"/>
            </w:pPr>
            <w:r>
              <w:t>Replacement configuration</w:t>
            </w:r>
          </w:p>
        </w:tc>
        <w:tc>
          <w:tcPr>
            <w:tcW w:type="dxa" w:w="5400"/>
          </w:tcPr>
          <w:p>
            <w:pPr>
              <w:spacing w:after="0" w:before="0" w:line="240" w:lineRule="auto"/>
              <w:jc w:val="left"/>
            </w:pPr>
            <w:r>
              <w:t>Applied configuration and revision</w:t>
            </w:r>
          </w:p>
        </w:tc>
      </w:tr>
      <w:tr>
        <w:tc>
          <w:tcPr>
            <w:tcW w:type="dxa" w:w="5400"/>
          </w:tcPr>
          <w:p>
            <w:pPr>
              <w:spacing w:after="0" w:before="0" w:line="240" w:lineRule="auto"/>
              <w:jc w:val="left"/>
            </w:pPr>
            <w:r>
              <w:t>Firmware</w:t>
            </w:r>
          </w:p>
        </w:tc>
        <w:tc>
          <w:tcPr>
            <w:tcW w:type="dxa" w:w="5400"/>
          </w:tcPr>
          <w:p>
            <w:pPr>
              <w:spacing w:after="0" w:before="0" w:line="240" w:lineRule="auto"/>
              <w:jc w:val="left"/>
            </w:pPr>
            <w:r>
              <w:t>Original and replacement versions</w:t>
            </w:r>
          </w:p>
        </w:tc>
      </w:tr>
      <w:tr>
        <w:tc>
          <w:tcPr>
            <w:tcW w:type="dxa" w:w="5400"/>
          </w:tcPr>
          <w:p>
            <w:pPr>
              <w:spacing w:after="0" w:before="0" w:line="240" w:lineRule="auto"/>
              <w:jc w:val="left"/>
            </w:pPr>
            <w:r>
              <w:t>Network settings</w:t>
            </w:r>
          </w:p>
        </w:tc>
        <w:tc>
          <w:tcPr>
            <w:tcW w:type="dxa" w:w="5400"/>
          </w:tcPr>
          <w:p>
            <w:pPr>
              <w:spacing w:after="0" w:before="0" w:line="240" w:lineRule="auto"/>
              <w:jc w:val="left"/>
            </w:pPr>
            <w:r>
              <w:t>IP, subnet, VLAN, and relevant gateway details</w:t>
            </w:r>
          </w:p>
        </w:tc>
      </w:tr>
      <w:tr>
        <w:tc>
          <w:tcPr>
            <w:tcW w:type="dxa" w:w="5400"/>
          </w:tcPr>
          <w:p>
            <w:pPr>
              <w:spacing w:after="0" w:before="0" w:line="240" w:lineRule="auto"/>
              <w:jc w:val="left"/>
            </w:pPr>
            <w:r>
              <w:t>Physical connections</w:t>
            </w:r>
          </w:p>
        </w:tc>
        <w:tc>
          <w:tcPr>
            <w:tcW w:type="dxa" w:w="5400"/>
          </w:tcPr>
          <w:p>
            <w:pPr>
              <w:spacing w:after="0" w:before="0" w:line="240" w:lineRule="auto"/>
              <w:jc w:val="left"/>
            </w:pPr>
            <w:r>
              <w:t>Cable IDs, port mapping, and transceiver details</w:t>
            </w:r>
          </w:p>
        </w:tc>
      </w:tr>
      <w:tr>
        <w:tc>
          <w:tcPr>
            <w:tcW w:type="dxa" w:w="5400"/>
          </w:tcPr>
          <w:p>
            <w:pPr>
              <w:spacing w:after="0" w:before="0" w:line="240" w:lineRule="auto"/>
              <w:jc w:val="left"/>
            </w:pPr>
            <w:r>
              <w:t>Validation</w:t>
            </w:r>
          </w:p>
        </w:tc>
        <w:tc>
          <w:tcPr>
            <w:tcW w:type="dxa" w:w="5400"/>
          </w:tcPr>
          <w:p>
            <w:pPr>
              <w:spacing w:after="0" w:before="0" w:line="240" w:lineRule="auto"/>
              <w:jc w:val="left"/>
            </w:pPr>
            <w:r>
              <w:t>Link, network, application, and monitoring test results</w:t>
            </w:r>
          </w:p>
        </w:tc>
      </w:tr>
      <w:tr>
        <w:tc>
          <w:tcPr>
            <w:tcW w:type="dxa" w:w="5400"/>
          </w:tcPr>
          <w:p>
            <w:pPr>
              <w:spacing w:after="0" w:before="0" w:line="240" w:lineRule="auto"/>
              <w:jc w:val="left"/>
            </w:pPr>
            <w:r>
              <w:t>Rollback</w:t>
            </w:r>
          </w:p>
        </w:tc>
        <w:tc>
          <w:tcPr>
            <w:tcW w:type="dxa" w:w="5400"/>
          </w:tcPr>
          <w:p>
            <w:pPr>
              <w:spacing w:after="0" w:before="0" w:line="240" w:lineRule="auto"/>
              <w:jc w:val="left"/>
            </w:pPr>
            <w:r>
              <w:t>Rollback method and outcome if used</w:t>
            </w:r>
          </w:p>
        </w:tc>
      </w:tr>
      <w:tr>
        <w:tc>
          <w:tcPr>
            <w:tcW w:type="dxa" w:w="5400"/>
          </w:tcPr>
          <w:p>
            <w:pPr>
              <w:spacing w:after="0" w:before="0" w:line="240" w:lineRule="auto"/>
              <w:jc w:val="left"/>
            </w:pPr>
            <w:r>
              <w:t>Follow-up action</w:t>
            </w:r>
          </w:p>
        </w:tc>
        <w:tc>
          <w:tcPr>
            <w:tcW w:type="dxa" w:w="5400"/>
          </w:tcPr>
          <w:p>
            <w:pPr>
              <w:spacing w:after="0" w:before="0" w:line="240" w:lineRule="auto"/>
              <w:jc w:val="left"/>
            </w:pPr>
            <w:r>
              <w:t>Corrective action, monitoring, or planned migration</w:t>
            </w:r>
          </w:p>
        </w:tc>
      </w:tr>
      <w:tr>
        <w:tc>
          <w:tcPr>
            <w:tcW w:type="dxa" w:w="5400"/>
          </w:tcPr>
          <w:p>
            <w:pPr>
              <w:spacing w:after="0" w:before="0" w:line="240" w:lineRule="auto"/>
              <w:jc w:val="left"/>
            </w:pPr>
            <w:r>
              <w:t>Closure</w:t>
            </w:r>
          </w:p>
        </w:tc>
        <w:tc>
          <w:tcPr>
            <w:tcW w:type="dxa" w:w="5400"/>
          </w:tcPr>
          <w:p>
            <w:pPr>
              <w:spacing w:after="0" w:before="0" w:line="240" w:lineRule="auto"/>
              <w:jc w:val="left"/>
            </w:pPr>
            <w:r>
              <w:t>Technician, date, and approval where required</w:t>
            </w:r>
          </w:p>
        </w:tc>
      </w:tr>
    </w:tbl>
    <w:p/>
    <w:p>
      <w:r>
        <w:t>Store configuration files and records according to the site's access-control, retention, and cybersecurity requirements.</w:t>
      </w:r>
    </w:p>
    <w:p>
      <w:pPr>
        <w:pStyle w:val="Heading2"/>
      </w:pPr>
      <w:r>
        <w:t>16. Device Replacement Checklist</w:t>
      </w:r>
    </w:p>
    <w:p>
      <w:pPr>
        <w:pStyle w:val="Heading3"/>
      </w:pPr>
      <w:r>
        <w:t>Before replacement</w:t>
      </w:r>
    </w:p>
    <w:p>
      <w:pPr>
        <w:pStyle w:val="ListBullet"/>
      </w:pPr>
      <w:r>
        <w:t>Confirm the device fault and replacement requirement.</w:t>
      </w:r>
    </w:p>
    <w:p>
      <w:pPr>
        <w:pStyle w:val="ListBullet"/>
      </w:pPr>
      <w:r>
        <w:t>Verify the exact replacement model and compatibility.</w:t>
      </w:r>
    </w:p>
    <w:p>
      <w:pPr>
        <w:pStyle w:val="ListBullet"/>
      </w:pPr>
      <w:r>
        <w:t>Assess production impact and redundancy.</w:t>
      </w:r>
    </w:p>
    <w:p>
      <w:pPr>
        <w:pStyle w:val="ListBullet"/>
      </w:pPr>
      <w:r>
        <w:t>Capture the original configuration and relevant diagnostics.</w:t>
      </w:r>
    </w:p>
    <w:p>
      <w:pPr>
        <w:pStyle w:val="ListBullet"/>
      </w:pPr>
      <w:r>
        <w:t>Record cable IDs and port mapping.</w:t>
      </w:r>
    </w:p>
    <w:p>
      <w:pPr>
        <w:pStyle w:val="ListBullet"/>
      </w:pPr>
      <w:r>
        <w:t>Confirm IP addressing, VLANs, firmware, and security requirements.</w:t>
      </w:r>
    </w:p>
    <w:p>
      <w:pPr>
        <w:pStyle w:val="ListBullet"/>
      </w:pPr>
      <w:r>
        <w:t>Prepare the rollback procedure.</w:t>
      </w:r>
    </w:p>
    <w:p>
      <w:pPr>
        <w:pStyle w:val="ListBullet"/>
      </w:pPr>
      <w:r>
        <w:t>Obtain required authorization.</w:t>
      </w:r>
    </w:p>
    <w:p>
      <w:pPr>
        <w:pStyle w:val="Heading3"/>
      </w:pPr>
      <w:r>
        <w:t>During replacement</w:t>
      </w:r>
    </w:p>
    <w:p>
      <w:pPr>
        <w:pStyle w:val="ListBullet"/>
      </w:pPr>
      <w:r>
        <w:t>Follow the approved isolation and shutdown procedure.</w:t>
      </w:r>
    </w:p>
    <w:p>
      <w:pPr>
        <w:pStyle w:val="ListBullet"/>
      </w:pPr>
      <w:r>
        <w:t>Label and disconnect cables carefully.</w:t>
      </w:r>
    </w:p>
    <w:p>
      <w:pPr>
        <w:pStyle w:val="ListBullet"/>
      </w:pPr>
      <w:r>
        <w:t>Verify the replacement device identity.</w:t>
      </w:r>
    </w:p>
    <w:p>
      <w:pPr>
        <w:pStyle w:val="ListBullet"/>
      </w:pPr>
      <w:r>
        <w:t>Check mounting, power, grounding, and environmental suitability.</w:t>
      </w:r>
    </w:p>
    <w:p>
      <w:pPr>
        <w:pStyle w:val="ListBullet"/>
      </w:pPr>
      <w:r>
        <w:t>Reconnect cables according to the approved port map.</w:t>
      </w:r>
    </w:p>
    <w:p>
      <w:pPr>
        <w:pStyle w:val="ListBullet"/>
      </w:pPr>
      <w:r>
        <w:t>Apply the approved configuration.</w:t>
      </w:r>
    </w:p>
    <w:p>
      <w:pPr>
        <w:pStyle w:val="ListBullet"/>
      </w:pPr>
      <w:r>
        <w:t>Verify management access and initial device status.</w:t>
      </w:r>
    </w:p>
    <w:p>
      <w:pPr>
        <w:pStyle w:val="Heading3"/>
      </w:pPr>
      <w:r>
        <w:t>After replacement</w:t>
      </w:r>
    </w:p>
    <w:p>
      <w:pPr>
        <w:pStyle w:val="ListBullet"/>
      </w:pPr>
      <w:r>
        <w:t>Confirm correct link states and link speeds.</w:t>
      </w:r>
    </w:p>
    <w:p>
      <w:pPr>
        <w:pStyle w:val="ListBullet"/>
      </w:pPr>
      <w:r>
        <w:t>Verify IP addresses, VLANs, and routing where applicable.</w:t>
      </w:r>
    </w:p>
    <w:p>
      <w:pPr>
        <w:pStyle w:val="ListBullet"/>
      </w:pPr>
      <w:r>
        <w:t>Validate redundancy and failover behavior where required.</w:t>
      </w:r>
    </w:p>
    <w:p>
      <w:pPr>
        <w:pStyle w:val="ListBullet"/>
      </w:pPr>
      <w:r>
        <w:t>Test PLC, HMI, CNC, robot, IPC, and SCADA communication as applicable.</w:t>
      </w:r>
    </w:p>
    <w:p>
      <w:pPr>
        <w:pStyle w:val="ListBullet"/>
      </w:pPr>
      <w:r>
        <w:t>Check alarms, logs, and relevant error counters.</w:t>
      </w:r>
    </w:p>
    <w:p>
      <w:pPr>
        <w:pStyle w:val="ListBullet"/>
      </w:pPr>
      <w:r>
        <w:t>Confirm stable operation under representative production conditions.</w:t>
      </w:r>
    </w:p>
    <w:p>
      <w:pPr>
        <w:pStyle w:val="ListBullet"/>
      </w:pPr>
      <w:r>
        <w:t>Update asset records and configuration backups.</w:t>
      </w:r>
    </w:p>
    <w:p>
      <w:pPr>
        <w:pStyle w:val="ListBullet"/>
      </w:pPr>
      <w:r>
        <w:t>Record test results and close the work order.</w:t>
      </w:r>
    </w:p>
    <w:p>
      <w:pPr>
        <w:pStyle w:val="Heading2"/>
      </w:pPr>
      <w:r>
        <w:t>17. Interview Questions and Answers</w:t>
      </w:r>
    </w:p>
    <w:p>
      <w:r>
        <w:t>1\. What is the difference between device replacement and network migration?</w:t>
      </w:r>
    </w:p>
    <w:p>
      <w:r>
        <w:t>Device replacement restores an existing function using compatible hardware and configuration. Network migration changes the hardware, technology, architecture, or configuration in a way that may require broader engineering and validation.</w:t>
      </w:r>
    </w:p>
    <w:p>
      <w:r>
        <w:t>2\. Why must configuration be backed up before replacing a managed switch?</w:t>
      </w:r>
    </w:p>
    <w:p>
      <w:r>
        <w:t>The backup preserves the intended settings and supports comparison, restoration, and troubleshooting. It must still be checked for compatibility with the replacement model and firmware.</w:t>
      </w:r>
    </w:p>
    <w:p>
      <w:r>
        <w:t>3\. Can the same configuration file be loaded into every switch from the same manufacturer?</w:t>
      </w:r>
    </w:p>
    <w:p>
      <w:r>
        <w:t>No. Configuration syntax, interface numbering, hardware capabilities, firmware, and feature support can differ between models.</w:t>
      </w:r>
    </w:p>
    <w:p>
      <w:r>
        <w:t>4\. Why can a replacement switch have link lights but still fail to communicate with PLCs?</w:t>
      </w:r>
    </w:p>
    <w:p>
      <w:r>
        <w:t>The physical link may be working while VLAN assignments, trunk settings, addressing, redundancy, or other configuration parameters are incorrect.</w:t>
      </w:r>
    </w:p>
    <w:p>
      <w:r>
        <w:t>5\. What should be checked when replacing a fiber-optic switch?</w:t>
      </w:r>
    </w:p>
    <w:p>
      <w:r>
        <w:t>Verify transceiver compatibility, fiber mode, wavelength, connector type, polarity, optical budget, link speed, and the configuration at both endpoints.</w:t>
      </w:r>
    </w:p>
    <w:p>
      <w:r>
        <w:t>6\. Why is a rollback plan important?</w:t>
      </w:r>
    </w:p>
    <w:p>
      <w:r>
        <w:t>It defines how to recover if the replacement fails or introduces unexpected problems. It reduces unplanned troubleshooting and clarifies the decision point for returning to the previous configuration or another approved recovery method.</w:t>
      </w:r>
    </w:p>
    <w:p>
      <w:r>
        <w:t>7\. What is the most important validation after replacing a network device?</w:t>
      </w:r>
    </w:p>
    <w:p>
      <w:r>
        <w:t>End-to-end functional validation. The replacement must support the actual industrial communication and applications, not merely power on or establish an Ethernet link.</w:t>
      </w:r>
    </w:p>
    <w:p>
      <w:r>
        <w:t>8\. Why should spare devices be standardized?</w:t>
      </w:r>
    </w:p>
    <w:p>
      <w:r>
        <w:t>Standardized spares reduce commissioning time, configuration mistakes, compatibility uncertainty, and the risk of introducing obsolete or unapproved hardware.</w:t>
      </w:r>
    </w:p>
    <w:p>
      <w:r>
        <w:t>9\. What information should be recorded after replacement?</w:t>
      </w:r>
    </w:p>
    <w:p>
      <w:r>
        <w:t>Device identity, serial number, firmware, configuration revision, physical port mapping, network settings, confirmed fault, validation results, and any follow-up action.</w:t>
      </w:r>
    </w:p>
    <w:p>
      <w:r>
        <w:t>10\. When should a like-for-like replacement be treated as an engineering change?</w:t>
      </w:r>
    </w:p>
    <w:p>
      <w:r>
        <w:t>When the replacement differs in hardware revision, firmware, capabilities, configuration behavior, security, or network role in a way that could affect the approved design.</w:t>
      </w:r>
    </w:p>
    <w:p>
      <w:pPr>
        <w:pStyle w:val="Heading2"/>
      </w:pPr>
      <w:r>
        <w:t>18. Core Principle</w:t>
      </w:r>
    </w:p>
    <w:p>
      <w:r>
        <w:t>A successful industrial network device replacement restores the intended function while preserving network integrity, production requirements, cybersecurity, and maintainability.</w:t>
      </w:r>
    </w:p>
    <w:p>
      <w:r>
        <w:t>The essential sequence is:</w:t>
      </w:r>
    </w:p>
    <w:p>
      <w:r>
        <w:t>Identify → Assess → Back up → Plan → Replace → Configure → Validate → Document.</w:t>
      </w:r>
    </w:p>
    <w:p>
      <w:r>
        <w:t>Skipping the assessment or validation stages may make the device appear operational while leaving hidden communication or configuration faults for the next production cycle.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02_PLAN_WISE_2026\02_INDUSTRY3_0\27_Network_Maint\06_Config_Backup - Config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Network Device Replacement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