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 Machine: Name, Make, Purpose, Location</w:t>
      </w:r>
    </w:p>
    <w:p>
      <w:pPr>
        <w:pStyle w:val="Heading2"/>
      </w:pPr>
      <w:r>
        <w:t>1. Purpose of the Machine Overview Record</w:t>
      </w:r>
    </w:p>
    <w:p>
      <w:r>
        <w:t>A machine overview is the master identification record for an industrial machine, production station, test bench, or integrated automation system. It establishes what the machine is, who manufactured it, what it does, and where it is installed.</w:t>
      </w:r>
    </w:p>
    <w:p>
      <w:r>
        <w:t>In industrial maintenance, this record is the starting point for troubleshooting, preventive maintenance, spare-parts planning, obsolescence management, technical documentation, safety audits, and breakdown reporting.</w:t>
      </w:r>
    </w:p>
    <w:p>
      <w:r>
        <w:t>For example, a maintenance report stating “robot station fault” is too vague to support reliable history. A record identifying the exact station, manufacturer, machine purpose, production area, and asset number provides a traceable starting point.</w:t>
      </w:r>
    </w:p>
    <w:p>
      <w:r>
        <w:t>The objective is to create one consistent machine identity that other records can reference, rather than allowing every department to invent its own name for the same equipment.</w:t>
      </w:r>
    </w:p>
    <w:p>
      <w:pPr>
        <w:pStyle w:val="Heading2"/>
      </w:pPr>
      <w:r>
        <w:t>2. What Counts as a Machine?</w:t>
      </w:r>
    </w:p>
    <w:p>
      <w:r>
        <w:t>The term machine can refer to different levels of equipment. A machine knowledge base must define these levels clearly.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 level</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Plant or production line</w:t>
            </w:r>
          </w:p>
        </w:tc>
        <w:tc>
          <w:tcPr>
            <w:tcW w:type="dxa" w:w="3600"/>
          </w:tcPr>
          <w:p>
            <w:pPr>
              <w:spacing w:after="0" w:before="0" w:line="240" w:lineRule="auto"/>
              <w:jc w:val="left"/>
            </w:pPr>
            <w:r>
              <w:t>A group of machines and stations forming a production system</w:t>
            </w:r>
          </w:p>
        </w:tc>
        <w:tc>
          <w:tcPr>
            <w:tcW w:type="dxa" w:w="3600"/>
          </w:tcPr>
          <w:p>
            <w:pPr>
              <w:spacing w:after="0" w:before="0" w:line="240" w:lineRule="auto"/>
              <w:jc w:val="left"/>
            </w:pPr>
            <w:r>
              <w:t>Commercial vehicle assembly line</w:t>
            </w:r>
          </w:p>
        </w:tc>
      </w:tr>
      <w:tr>
        <w:tc>
          <w:tcPr>
            <w:tcW w:type="dxa" w:w="3600"/>
          </w:tcPr>
          <w:p>
            <w:pPr>
              <w:spacing w:after="0" w:before="0" w:line="240" w:lineRule="auto"/>
              <w:jc w:val="left"/>
            </w:pPr>
            <w:r>
              <w:t>Cell or station</w:t>
            </w:r>
          </w:p>
        </w:tc>
        <w:tc>
          <w:tcPr>
            <w:tcW w:type="dxa" w:w="3600"/>
          </w:tcPr>
          <w:p>
            <w:pPr>
              <w:spacing w:after="0" w:before="0" w:line="240" w:lineRule="auto"/>
              <w:jc w:val="left"/>
            </w:pPr>
            <w:r>
              <w:t>A defined production or processing area</w:t>
            </w:r>
          </w:p>
        </w:tc>
        <w:tc>
          <w:tcPr>
            <w:tcW w:type="dxa" w:w="3600"/>
          </w:tcPr>
          <w:p>
            <w:pPr>
              <w:spacing w:after="0" w:before="0" w:line="240" w:lineRule="auto"/>
              <w:jc w:val="left"/>
            </w:pPr>
            <w:r>
              <w:t>Robotic welding cell</w:t>
            </w:r>
          </w:p>
        </w:tc>
      </w:tr>
      <w:tr>
        <w:tc>
          <w:tcPr>
            <w:tcW w:type="dxa" w:w="3600"/>
          </w:tcPr>
          <w:p>
            <w:pPr>
              <w:spacing w:after="0" w:before="0" w:line="240" w:lineRule="auto"/>
              <w:jc w:val="left"/>
            </w:pPr>
            <w:r>
              <w:t>Machine</w:t>
            </w:r>
          </w:p>
        </w:tc>
        <w:tc>
          <w:tcPr>
            <w:tcW w:type="dxa" w:w="3600"/>
          </w:tcPr>
          <w:p>
            <w:pPr>
              <w:spacing w:after="0" w:before="0" w:line="240" w:lineRule="auto"/>
              <w:jc w:val="left"/>
            </w:pPr>
            <w:r>
              <w:t>Equipment performing a defined operation</w:t>
            </w:r>
          </w:p>
        </w:tc>
        <w:tc>
          <w:tcPr>
            <w:tcW w:type="dxa" w:w="3600"/>
          </w:tcPr>
          <w:p>
            <w:pPr>
              <w:spacing w:after="0" w:before="0" w:line="240" w:lineRule="auto"/>
              <w:jc w:val="left"/>
            </w:pPr>
            <w:r>
              <w:t>CNC machining centre</w:t>
            </w:r>
          </w:p>
        </w:tc>
      </w:tr>
      <w:tr>
        <w:tc>
          <w:tcPr>
            <w:tcW w:type="dxa" w:w="3600"/>
          </w:tcPr>
          <w:p>
            <w:pPr>
              <w:spacing w:after="0" w:before="0" w:line="240" w:lineRule="auto"/>
              <w:jc w:val="left"/>
            </w:pPr>
            <w:r>
              <w:t>Subsystem</w:t>
            </w:r>
          </w:p>
        </w:tc>
        <w:tc>
          <w:tcPr>
            <w:tcW w:type="dxa" w:w="3600"/>
          </w:tcPr>
          <w:p>
            <w:pPr>
              <w:spacing w:after="0" w:before="0" w:line="240" w:lineRule="auto"/>
              <w:jc w:val="left"/>
            </w:pPr>
            <w:r>
              <w:t>A functional section within a machine</w:t>
            </w:r>
          </w:p>
        </w:tc>
        <w:tc>
          <w:tcPr>
            <w:tcW w:type="dxa" w:w="3600"/>
          </w:tcPr>
          <w:p>
            <w:pPr>
              <w:spacing w:after="0" w:before="0" w:line="240" w:lineRule="auto"/>
              <w:jc w:val="left"/>
            </w:pPr>
            <w:r>
              <w:t>Hydraulic clamping unit</w:t>
            </w:r>
          </w:p>
        </w:tc>
      </w:tr>
      <w:tr>
        <w:tc>
          <w:tcPr>
            <w:tcW w:type="dxa" w:w="3600"/>
          </w:tcPr>
          <w:p>
            <w:pPr>
              <w:spacing w:after="0" w:before="0" w:line="240" w:lineRule="auto"/>
              <w:jc w:val="left"/>
            </w:pPr>
            <w:r>
              <w:t>Component</w:t>
            </w:r>
          </w:p>
        </w:tc>
        <w:tc>
          <w:tcPr>
            <w:tcW w:type="dxa" w:w="3600"/>
          </w:tcPr>
          <w:p>
            <w:pPr>
              <w:spacing w:after="0" w:before="0" w:line="240" w:lineRule="auto"/>
              <w:jc w:val="left"/>
            </w:pPr>
            <w:r>
              <w:t>An individual replaceable or maintainable item</w:t>
            </w:r>
          </w:p>
        </w:tc>
        <w:tc>
          <w:tcPr>
            <w:tcW w:type="dxa" w:w="3600"/>
          </w:tcPr>
          <w:p>
            <w:pPr>
              <w:spacing w:after="0" w:before="0" w:line="240" w:lineRule="auto"/>
              <w:jc w:val="left"/>
            </w:pPr>
            <w:r>
              <w:t>Hydraulic pump, servo drive, PLC</w:t>
            </w:r>
          </w:p>
        </w:tc>
      </w:tr>
      <w:tr>
        <w:tc>
          <w:tcPr>
            <w:tcW w:type="dxa" w:w="3600"/>
          </w:tcPr>
          <w:p>
            <w:pPr>
              <w:spacing w:after="0" w:before="0" w:line="240" w:lineRule="auto"/>
              <w:jc w:val="left"/>
            </w:pPr>
            <w:r>
              <w:t>Device</w:t>
            </w:r>
          </w:p>
        </w:tc>
        <w:tc>
          <w:tcPr>
            <w:tcW w:type="dxa" w:w="3600"/>
          </w:tcPr>
          <w:p>
            <w:pPr>
              <w:spacing w:after="0" w:before="0" w:line="240" w:lineRule="auto"/>
              <w:jc w:val="left"/>
            </w:pPr>
            <w:r>
              <w:t>A control, measurement, communication, or operator-interface unit</w:t>
            </w:r>
          </w:p>
        </w:tc>
        <w:tc>
          <w:tcPr>
            <w:tcW w:type="dxa" w:w="3600"/>
          </w:tcPr>
          <w:p>
            <w:pPr>
              <w:spacing w:after="0" w:before="0" w:line="240" w:lineRule="auto"/>
              <w:jc w:val="left"/>
            </w:pPr>
            <w:r>
              <w:t>Proximity sensor, switch, HMI</w:t>
            </w:r>
          </w:p>
        </w:tc>
      </w:tr>
    </w:tbl>
    <w:p/>
    <w:p>
      <w:r>
        <w:t>These levels should not be mixed. A PLC may control a machine, but it is not necessarily the machine itself. Similarly, a machine may contain several PLCs, robots, drives, and industrial PCs.</w:t>
      </w:r>
    </w:p>
    <w:p>
      <w:pPr>
        <w:pStyle w:val="Heading2"/>
      </w:pPr>
      <w:r>
        <w:t>3. Core Machine Identity Fields</w:t>
      </w:r>
    </w:p>
    <w:p>
      <w:r>
        <w:t>A useful machine overview contains more than just a name, make, purpose, and location. Those four fields form the minimum descriptive identity, while additional identifiers support traceability.</w:t>
      </w:r>
    </w:p>
    <w:p>
      <w:pPr>
        <w:pStyle w:val="Heading3"/>
      </w:pPr>
      <w:r>
        <w:t>3.1 Machine name</w:t>
      </w:r>
    </w:p>
    <w:p>
      <w:r>
        <w:t>The machine name is a clear, recognizable description used by maintenance, production, quality, engineering, and safety teams.</w:t>
      </w:r>
    </w:p>
    <w:p>
      <w:r>
        <w:t>A good name should be:</w:t>
      </w:r>
    </w:p>
    <w:p>
      <w:pPr>
        <w:pStyle w:val="ListBullet"/>
      </w:pPr>
      <w:r>
        <w:t>Unique enough to distinguish the machine from similar equipment.</w:t>
      </w:r>
    </w:p>
    <w:p>
      <w:pPr>
        <w:pStyle w:val="ListBullet"/>
      </w:pPr>
      <w:r>
        <w:t>Meaningful to people familiar with the production process.</w:t>
      </w:r>
    </w:p>
    <w:p>
      <w:pPr>
        <w:pStyle w:val="ListBullet"/>
      </w:pPr>
      <w:r>
        <w:t>Consistent with plant naming conventions.</w:t>
      </w:r>
    </w:p>
    <w:p>
      <w:pPr>
        <w:pStyle w:val="ListBullet"/>
      </w:pPr>
      <w:r>
        <w:t>Stable over time, even if the machine's operating purpose changes slightly.</w:t>
      </w:r>
    </w:p>
    <w:p>
      <w:pPr>
        <w:pStyle w:val="ListBullet"/>
      </w:pPr>
      <w:r>
        <w:t>Linked to an official asset ID or equipment number.</w:t>
      </w:r>
    </w:p>
    <w:p>
      <w:r>
        <w:t>Examples:</w:t>
      </w:r>
    </w:p>
    <w:p>
      <w:pPr>
        <w:pStyle w:val="ListBullet"/>
      </w:pPr>
      <w:r>
        <w:rPr>
          <w:rFonts w:ascii="Consolas" w:hAnsi="Consolas"/>
          <w:color w:val="333333"/>
          <w:sz w:val="19"/>
          <w:shd w:val="clear" w:color="auto" w:fill="EFEFEF"/>
        </w:rPr>
        <w:t>H7 Engine Test Bench 03</w:t>
      </w:r>
    </w:p>
    <w:p>
      <w:pPr>
        <w:pStyle w:val="ListBullet"/>
      </w:pPr>
      <w:r>
        <w:rPr>
          <w:rFonts w:ascii="Consolas" w:hAnsi="Consolas"/>
          <w:color w:val="333333"/>
          <w:sz w:val="19"/>
          <w:shd w:val="clear" w:color="auto" w:fill="EFEFEF"/>
        </w:rPr>
        <w:t>Cylinder Head CNC Machining Centre 02</w:t>
      </w:r>
    </w:p>
    <w:p>
      <w:pPr>
        <w:pStyle w:val="ListBullet"/>
      </w:pPr>
      <w:r>
        <w:rPr>
          <w:rFonts w:ascii="Consolas" w:hAnsi="Consolas"/>
          <w:color w:val="333333"/>
          <w:sz w:val="19"/>
          <w:shd w:val="clear" w:color="auto" w:fill="EFEFEF"/>
        </w:rPr>
        <w:t>Robotic Welding Station 05</w:t>
      </w:r>
    </w:p>
    <w:p>
      <w:pPr>
        <w:pStyle w:val="ListBullet"/>
      </w:pPr>
      <w:r>
        <w:rPr>
          <w:rFonts w:ascii="Consolas" w:hAnsi="Consolas"/>
          <w:color w:val="333333"/>
          <w:sz w:val="19"/>
          <w:shd w:val="clear" w:color="auto" w:fill="EFEFEF"/>
        </w:rPr>
        <w:t>Transmission Leak Test Bench 01</w:t>
      </w:r>
    </w:p>
    <w:p>
      <w:pPr>
        <w:pStyle w:val="ListBullet"/>
      </w:pPr>
      <w:r>
        <w:rPr>
          <w:rFonts w:ascii="Consolas" w:hAnsi="Consolas"/>
          <w:color w:val="333333"/>
          <w:sz w:val="19"/>
          <w:shd w:val="clear" w:color="auto" w:fill="EFEFEF"/>
        </w:rPr>
        <w:t>Final Assembly Torque Station 04</w:t>
      </w:r>
    </w:p>
    <w:p>
      <w:r>
        <w:t xml:space="preserve">Avoid names such as </w:t>
      </w:r>
      <w:r>
        <w:rPr>
          <w:rFonts w:ascii="Consolas" w:hAnsi="Consolas"/>
          <w:color w:val="333333"/>
          <w:sz w:val="19"/>
          <w:shd w:val="clear" w:color="auto" w:fill="EFEFEF"/>
        </w:rPr>
        <w:t>New Machine</w:t>
      </w:r>
      <w:r>
        <w:t xml:space="preserve">, </w:t>
      </w:r>
      <w:r>
        <w:rPr>
          <w:rFonts w:ascii="Consolas" w:hAnsi="Consolas"/>
          <w:color w:val="333333"/>
          <w:sz w:val="19"/>
          <w:shd w:val="clear" w:color="auto" w:fill="EFEFEF"/>
        </w:rPr>
        <w:t>PLC Machine</w:t>
      </w:r>
      <w:r>
        <w:t xml:space="preserve">, </w:t>
      </w:r>
      <w:r>
        <w:rPr>
          <w:rFonts w:ascii="Consolas" w:hAnsi="Consolas"/>
          <w:color w:val="333333"/>
          <w:sz w:val="19"/>
          <w:shd w:val="clear" w:color="auto" w:fill="EFEFEF"/>
        </w:rPr>
        <w:t>Big CNC</w:t>
      </w:r>
      <w:r>
        <w:t xml:space="preserve">, or </w:t>
      </w:r>
      <w:r>
        <w:rPr>
          <w:rFonts w:ascii="Consolas" w:hAnsi="Consolas"/>
          <w:color w:val="333333"/>
          <w:sz w:val="19"/>
          <w:shd w:val="clear" w:color="auto" w:fill="EFEFEF"/>
        </w:rPr>
        <w:t>Machine Near Panel</w:t>
      </w:r>
      <w:r>
        <w:t>. These depend on temporary circumstances or personal interpretation.</w:t>
      </w:r>
    </w:p>
    <w:p>
      <w:pPr>
        <w:pStyle w:val="Heading3"/>
      </w:pPr>
      <w:r>
        <w:t>3.2 Machine make</w:t>
      </w:r>
    </w:p>
    <w:p>
      <w:r>
        <w:t>The make identifies the manufacturer or original equipment builder associated with the machine.</w:t>
      </w:r>
    </w:p>
    <w:p>
      <w:r>
        <w:t>Examples include:</w:t>
      </w:r>
    </w:p>
    <w:p>
      <w:pPr>
        <w:pStyle w:val="ListBullet"/>
      </w:pPr>
      <w:r>
        <w:t>Siemens, Mitsubishi Electric, or Rockwell Automation for control products.</w:t>
      </w:r>
    </w:p>
    <w:p>
      <w:pPr>
        <w:pStyle w:val="ListBullet"/>
      </w:pPr>
      <w:r>
        <w:t>FANUC or KUKA for robot systems.</w:t>
      </w:r>
    </w:p>
    <w:p>
      <w:pPr>
        <w:pStyle w:val="ListBullet"/>
      </w:pPr>
      <w:r>
        <w:t>Mazak, DMG MORI, or Okuma for CNC machine tools.</w:t>
      </w:r>
    </w:p>
    <w:p>
      <w:pPr>
        <w:pStyle w:val="ListBullet"/>
      </w:pPr>
      <w:r>
        <w:t>A specialist OEM for an engine test bench, leak tester, or automated assembly system.</w:t>
      </w:r>
    </w:p>
    <w:p>
      <w:r>
        <w:t>The machine make is not necessarily the PLC, CNC, robot, or drive make.</w:t>
      </w:r>
    </w:p>
    <w:p>
      <w:r>
        <w:t>A machine may be built by one OEM, use a Siemens PLC, contain a FANUC robot, and include drives from another manufacturer. The machine overview should identify the machine builder, while individual component records identify the manufacturers of installed subsystems.</w:t>
      </w:r>
    </w:p>
    <w:p>
      <w:r>
        <w:t xml:space="preserve">If the machine builder is unknown, record </w:t>
      </w:r>
      <w:r>
        <w:rPr>
          <w:rFonts w:ascii="Consolas" w:hAnsi="Consolas"/>
          <w:color w:val="333333"/>
          <w:sz w:val="19"/>
          <w:shd w:val="clear" w:color="auto" w:fill="EFEFEF"/>
        </w:rPr>
        <w:t>Unknown</w:t>
      </w:r>
      <w:r>
        <w:t xml:space="preserve"> or </w:t>
      </w:r>
      <w:r>
        <w:rPr>
          <w:rFonts w:ascii="Consolas" w:hAnsi="Consolas"/>
          <w:color w:val="333333"/>
          <w:sz w:val="19"/>
          <w:shd w:val="clear" w:color="auto" w:fill="EFEFEF"/>
        </w:rPr>
        <w:t>Not verified</w:t>
      </w:r>
      <w:r>
        <w:t xml:space="preserve"> according to the documentation standard. Do not guess from the control-panel components.</w:t>
      </w:r>
    </w:p>
    <w:p>
      <w:pPr>
        <w:pStyle w:val="Heading3"/>
      </w:pPr>
      <w:r>
        <w:t>3.3 Machine purpose</w:t>
      </w:r>
    </w:p>
    <w:p>
      <w:r>
        <w:t>Purpose explains the machine's intended function in the production or testing process. It should describe the result the equipment is designed to achieve.</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Machine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CNC machining centre</w:t>
            </w:r>
          </w:p>
        </w:tc>
        <w:tc>
          <w:tcPr>
            <w:tcW w:type="dxa" w:w="5400"/>
          </w:tcPr>
          <w:p>
            <w:pPr>
              <w:spacing w:after="0" w:before="0" w:line="240" w:lineRule="auto"/>
              <w:jc w:val="left"/>
            </w:pPr>
            <w:r>
              <w:t>Machines a workpiece to specified dimensions and surface requirements</w:t>
            </w:r>
          </w:p>
        </w:tc>
      </w:tr>
      <w:tr>
        <w:tc>
          <w:tcPr>
            <w:tcW w:type="dxa" w:w="5400"/>
          </w:tcPr>
          <w:p>
            <w:pPr>
              <w:spacing w:after="0" w:before="0" w:line="240" w:lineRule="auto"/>
              <w:jc w:val="left"/>
            </w:pPr>
            <w:r>
              <w:t>Engine test bench</w:t>
            </w:r>
          </w:p>
        </w:tc>
        <w:tc>
          <w:tcPr>
            <w:tcW w:type="dxa" w:w="5400"/>
          </w:tcPr>
          <w:p>
            <w:pPr>
              <w:spacing w:after="0" w:before="0" w:line="240" w:lineRule="auto"/>
              <w:jc w:val="left"/>
            </w:pPr>
            <w:r>
              <w:t>Measures engine operating performance against defined test criteria</w:t>
            </w:r>
          </w:p>
        </w:tc>
      </w:tr>
      <w:tr>
        <w:tc>
          <w:tcPr>
            <w:tcW w:type="dxa" w:w="5400"/>
          </w:tcPr>
          <w:p>
            <w:pPr>
              <w:spacing w:after="0" w:before="0" w:line="240" w:lineRule="auto"/>
              <w:jc w:val="left"/>
            </w:pPr>
            <w:r>
              <w:t>Leak test bench</w:t>
            </w:r>
          </w:p>
        </w:tc>
        <w:tc>
          <w:tcPr>
            <w:tcW w:type="dxa" w:w="5400"/>
          </w:tcPr>
          <w:p>
            <w:pPr>
              <w:spacing w:after="0" w:before="0" w:line="240" w:lineRule="auto"/>
              <w:jc w:val="left"/>
            </w:pPr>
            <w:r>
              <w:t>Detects leakage and evaluates whether the part meets acceptance limits</w:t>
            </w:r>
          </w:p>
        </w:tc>
      </w:tr>
      <w:tr>
        <w:tc>
          <w:tcPr>
            <w:tcW w:type="dxa" w:w="5400"/>
          </w:tcPr>
          <w:p>
            <w:pPr>
              <w:spacing w:after="0" w:before="0" w:line="240" w:lineRule="auto"/>
              <w:jc w:val="left"/>
            </w:pPr>
            <w:r>
              <w:t>Robotic welding cell</w:t>
            </w:r>
          </w:p>
        </w:tc>
        <w:tc>
          <w:tcPr>
            <w:tcW w:type="dxa" w:w="5400"/>
          </w:tcPr>
          <w:p>
            <w:pPr>
              <w:spacing w:after="0" w:before="0" w:line="240" w:lineRule="auto"/>
              <w:jc w:val="left"/>
            </w:pPr>
            <w:r>
              <w:t>Joins components using a programmed welding process</w:t>
            </w:r>
          </w:p>
        </w:tc>
      </w:tr>
      <w:tr>
        <w:tc>
          <w:tcPr>
            <w:tcW w:type="dxa" w:w="5400"/>
          </w:tcPr>
          <w:p>
            <w:pPr>
              <w:spacing w:after="0" w:before="0" w:line="240" w:lineRule="auto"/>
              <w:jc w:val="left"/>
            </w:pPr>
            <w:r>
              <w:t>Automated torque station</w:t>
            </w:r>
          </w:p>
        </w:tc>
        <w:tc>
          <w:tcPr>
            <w:tcW w:type="dxa" w:w="5400"/>
          </w:tcPr>
          <w:p>
            <w:pPr>
              <w:spacing w:after="0" w:before="0" w:line="240" w:lineRule="auto"/>
              <w:jc w:val="left"/>
            </w:pPr>
            <w:r>
              <w:t>Tightens fasteners to specified torque and, where applicable, angle limits</w:t>
            </w:r>
          </w:p>
        </w:tc>
      </w:tr>
      <w:tr>
        <w:tc>
          <w:tcPr>
            <w:tcW w:type="dxa" w:w="5400"/>
          </w:tcPr>
          <w:p>
            <w:pPr>
              <w:spacing w:after="0" w:before="0" w:line="240" w:lineRule="auto"/>
              <w:jc w:val="left"/>
            </w:pPr>
            <w:r>
              <w:t>Vision inspection station</w:t>
            </w:r>
          </w:p>
        </w:tc>
        <w:tc>
          <w:tcPr>
            <w:tcW w:type="dxa" w:w="5400"/>
          </w:tcPr>
          <w:p>
            <w:pPr>
              <w:spacing w:after="0" w:before="0" w:line="240" w:lineRule="auto"/>
              <w:jc w:val="left"/>
            </w:pPr>
            <w:r>
              <w:t>Checks defined part characteristics using an imaging system</w:t>
            </w:r>
          </w:p>
        </w:tc>
      </w:tr>
    </w:tbl>
    <w:p/>
    <w:p>
      <w:r>
        <w:t>Purpose should describe the machine's intended function, not merely its technology.</w:t>
      </w:r>
    </w:p>
    <w:p>
      <w:r>
        <w:t>For example, “contains a PLC and servo drives” describes components. “Positions and clamps the component before automated fastening” describes purpose.</w:t>
      </w:r>
    </w:p>
    <w:p>
      <w:pPr>
        <w:pStyle w:val="Heading3"/>
      </w:pPr>
      <w:r>
        <w:t>3.4 Machine location</w:t>
      </w:r>
    </w:p>
    <w:p>
      <w:r>
        <w:t>Location identifies where the machine is physically installed. It should be detailed enough for a technician to find it without relying on local memory.</w:t>
      </w:r>
    </w:p>
    <w:p>
      <w:r>
        <w:t>A typical hierarchy is:</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Building or shop</w:t>
      </w:r>
    </w:p>
    <w:p>
      <w:pPr>
        <w:shd w:val="clear" w:color="auto" w:fill="F4F4F4"/>
        <w:spacing w:before="0" w:after="0" w:line="240" w:lineRule="auto"/>
        <w:ind w:left="216" w:right="216"/>
        <w:jc w:val="left"/>
      </w:pPr>
      <w:r>
        <w:rPr>
          <w:rFonts w:ascii="Consolas" w:hAnsi="Consolas"/>
          <w:color w:val="202020"/>
          <w:sz w:val="18"/>
        </w:rPr>
        <w:t>→ Production line</w:t>
      </w:r>
    </w:p>
    <w:p>
      <w:pPr>
        <w:shd w:val="clear" w:color="auto" w:fill="F4F4F4"/>
        <w:spacing w:before="0" w:after="0" w:line="240" w:lineRule="auto"/>
        <w:ind w:left="216" w:right="216"/>
        <w:jc w:val="left"/>
      </w:pPr>
      <w:r>
        <w:rPr>
          <w:rFonts w:ascii="Consolas" w:hAnsi="Consolas"/>
          <w:color w:val="202020"/>
          <w:sz w:val="18"/>
        </w:rPr>
        <w:t>→ Cell or station</w:t>
      </w:r>
    </w:p>
    <w:p>
      <w:pPr>
        <w:shd w:val="clear" w:color="auto" w:fill="F4F4F4"/>
        <w:spacing w:before="0" w:after="0" w:line="240" w:lineRule="auto"/>
        <w:ind w:left="216" w:right="216"/>
        <w:jc w:val="left"/>
      </w:pPr>
      <w:r>
        <w:rPr>
          <w:rFonts w:ascii="Consolas" w:hAnsi="Consolas"/>
          <w:color w:val="202020"/>
          <w:sz w:val="18"/>
        </w:rPr>
        <w:t>→ Machine</w:t>
      </w:r>
    </w:p>
    <w:p>
      <w:pPr>
        <w:shd w:val="clear" w:color="auto" w:fill="F4F4F4"/>
        <w:spacing w:before="0" w:after="0" w:line="240" w:lineRule="auto"/>
        <w:ind w:left="216" w:right="216"/>
        <w:jc w:val="left"/>
      </w:pPr>
      <w:r>
        <w:rPr>
          <w:rFonts w:ascii="Consolas" w:hAnsi="Consolas"/>
          <w:color w:val="202020"/>
          <w:sz w:val="18"/>
        </w:rPr>
        <w:t>→ Cabinet or physical position, where required</w:t>
      </w:r>
    </w:p>
    <w:p/>
    <w:p>
      <w:r>
        <w:t>Example:</w:t>
      </w:r>
    </w:p>
    <w:p>
      <w:r>
        <w:rPr>
          <w:rFonts w:ascii="Consolas" w:hAnsi="Consolas"/>
          <w:color w:val="333333"/>
          <w:sz w:val="19"/>
          <w:shd w:val="clear" w:color="auto" w:fill="EFEFEF"/>
        </w:rPr>
        <w:t>Pune Plant → CV Shop → Engine Line → Machining Cell 02 → CNC Machine 02</w:t>
      </w:r>
    </w:p>
    <w:p>
      <w:r>
        <w:t>Use the official plant, shop, line, and station identifiers wherever available. A nickname such as “near the blue cabinet” may help someone temporarily, but it is not a reliable master location.</w:t>
      </w:r>
    </w:p>
    <w:p>
      <w:pPr>
        <w:pStyle w:val="Heading2"/>
      </w:pPr>
      <w:r>
        <w:t>4. Essential Identifiers and Additional Fields</w:t>
      </w:r>
    </w:p>
    <w:p>
      <w:r>
        <w:t>The four core descriptive fields should be supplemented with unique identifiers and useful traceability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ID</w:t>
            </w:r>
          </w:p>
        </w:tc>
        <w:tc>
          <w:tcPr>
            <w:tcW w:type="dxa" w:w="3600"/>
          </w:tcPr>
          <w:p>
            <w:pPr>
              <w:spacing w:after="0" w:before="0" w:line="240" w:lineRule="auto"/>
              <w:jc w:val="left"/>
            </w:pPr>
            <w:r>
              <w:t>Unique internal identifier</w:t>
            </w:r>
          </w:p>
        </w:tc>
        <w:tc>
          <w:tcPr>
            <w:tcW w:type="dxa" w:w="3600"/>
          </w:tcPr>
          <w:p>
            <w:pPr>
              <w:spacing w:after="0" w:before="0" w:line="240" w:lineRule="auto"/>
              <w:jc w:val="left"/>
            </w:pPr>
            <w:r>
              <w:rPr>
                <w:rFonts w:ascii="Consolas" w:hAnsi="Consolas"/>
                <w:color w:val="333333"/>
                <w:sz w:val="19"/>
                <w:shd w:val="clear" w:color="auto" w:fill="EFEFEF"/>
              </w:rPr>
              <w:t>MCH-CNC-002</w:t>
            </w:r>
          </w:p>
        </w:tc>
      </w:tr>
      <w:tr>
        <w:tc>
          <w:tcPr>
            <w:tcW w:type="dxa" w:w="3600"/>
          </w:tcPr>
          <w:p>
            <w:pPr>
              <w:spacing w:after="0" w:before="0" w:line="240" w:lineRule="auto"/>
              <w:jc w:val="left"/>
            </w:pPr>
            <w:r>
              <w:t>Machine name</w:t>
            </w:r>
          </w:p>
        </w:tc>
        <w:tc>
          <w:tcPr>
            <w:tcW w:type="dxa" w:w="3600"/>
          </w:tcPr>
          <w:p>
            <w:pPr>
              <w:spacing w:after="0" w:before="0" w:line="240" w:lineRule="auto"/>
              <w:jc w:val="left"/>
            </w:pPr>
            <w:r>
              <w:t>Recognizable machine description</w:t>
            </w:r>
          </w:p>
        </w:tc>
        <w:tc>
          <w:tcPr>
            <w:tcW w:type="dxa" w:w="3600"/>
          </w:tcPr>
          <w:p>
            <w:pPr>
              <w:spacing w:after="0" w:before="0" w:line="240" w:lineRule="auto"/>
              <w:jc w:val="left"/>
            </w:pPr>
            <w:r>
              <w:rPr>
                <w:rFonts w:ascii="Consolas" w:hAnsi="Consolas"/>
                <w:color w:val="333333"/>
                <w:sz w:val="19"/>
                <w:shd w:val="clear" w:color="auto" w:fill="EFEFEF"/>
              </w:rPr>
              <w:t>Cylinder Head CNC Machining Centre 02</w:t>
            </w:r>
          </w:p>
        </w:tc>
      </w:tr>
      <w:tr>
        <w:tc>
          <w:tcPr>
            <w:tcW w:type="dxa" w:w="3600"/>
          </w:tcPr>
          <w:p>
            <w:pPr>
              <w:spacing w:after="0" w:before="0" w:line="240" w:lineRule="auto"/>
              <w:jc w:val="left"/>
            </w:pPr>
            <w:r>
              <w:t>Make</w:t>
            </w:r>
          </w:p>
        </w:tc>
        <w:tc>
          <w:tcPr>
            <w:tcW w:type="dxa" w:w="3600"/>
          </w:tcPr>
          <w:p>
            <w:pPr>
              <w:spacing w:after="0" w:before="0" w:line="240" w:lineRule="auto"/>
              <w:jc w:val="left"/>
            </w:pPr>
            <w:r>
              <w:t>Machine builder or OEM</w:t>
            </w:r>
          </w:p>
        </w:tc>
        <w:tc>
          <w:tcPr>
            <w:tcW w:type="dxa" w:w="3600"/>
          </w:tcPr>
          <w:p>
            <w:pPr>
              <w:spacing w:after="0" w:before="0" w:line="240" w:lineRule="auto"/>
              <w:jc w:val="left"/>
            </w:pPr>
            <w:r>
              <w:t>Verified manufacturer</w:t>
            </w:r>
          </w:p>
        </w:tc>
      </w:tr>
      <w:tr>
        <w:tc>
          <w:tcPr>
            <w:tcW w:type="dxa" w:w="3600"/>
          </w:tcPr>
          <w:p>
            <w:pPr>
              <w:spacing w:after="0" w:before="0" w:line="240" w:lineRule="auto"/>
              <w:jc w:val="left"/>
            </w:pPr>
            <w:r>
              <w:t>Model</w:t>
            </w:r>
          </w:p>
        </w:tc>
        <w:tc>
          <w:tcPr>
            <w:tcW w:type="dxa" w:w="3600"/>
          </w:tcPr>
          <w:p>
            <w:pPr>
              <w:spacing w:after="0" w:before="0" w:line="240" w:lineRule="auto"/>
              <w:jc w:val="left"/>
            </w:pPr>
            <w:r>
              <w:t>Manufacturer's machine model</w:t>
            </w:r>
          </w:p>
        </w:tc>
        <w:tc>
          <w:tcPr>
            <w:tcW w:type="dxa" w:w="3600"/>
          </w:tcPr>
          <w:p>
            <w:pPr>
              <w:spacing w:after="0" w:before="0" w:line="240" w:lineRule="auto"/>
              <w:jc w:val="left"/>
            </w:pPr>
            <w:r>
              <w:t>As shown on the nameplate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Manufacturer's unique machine identifier</w:t>
            </w:r>
          </w:p>
        </w:tc>
        <w:tc>
          <w:tcPr>
            <w:tcW w:type="dxa" w:w="3600"/>
          </w:tcPr>
          <w:p>
            <w:pPr>
              <w:spacing w:after="0" w:before="0" w:line="240" w:lineRule="auto"/>
              <w:jc w:val="left"/>
            </w:pPr>
            <w:r>
              <w:t>Exact nameplate value</w:t>
            </w:r>
          </w:p>
        </w:tc>
      </w:tr>
      <w:tr>
        <w:tc>
          <w:tcPr>
            <w:tcW w:type="dxa" w:w="3600"/>
          </w:tcPr>
          <w:p>
            <w:pPr>
              <w:spacing w:after="0" w:before="0" w:line="240" w:lineRule="auto"/>
              <w:jc w:val="left"/>
            </w:pPr>
            <w:r>
              <w:t>Purpose</w:t>
            </w:r>
          </w:p>
        </w:tc>
        <w:tc>
          <w:tcPr>
            <w:tcW w:type="dxa" w:w="3600"/>
          </w:tcPr>
          <w:p>
            <w:pPr>
              <w:spacing w:after="0" w:before="0" w:line="240" w:lineRule="auto"/>
              <w:jc w:val="left"/>
            </w:pPr>
            <w:r>
              <w:t>Intended production or testing function</w:t>
            </w:r>
          </w:p>
        </w:tc>
        <w:tc>
          <w:tcPr>
            <w:tcW w:type="dxa" w:w="3600"/>
          </w:tcPr>
          <w:p>
            <w:pPr>
              <w:spacing w:after="0" w:before="0" w:line="240" w:lineRule="auto"/>
              <w:jc w:val="left"/>
            </w:pPr>
            <w:r>
              <w:t>Cylinder head machining</w:t>
            </w:r>
          </w:p>
        </w:tc>
      </w:tr>
      <w:tr>
        <w:tc>
          <w:tcPr>
            <w:tcW w:type="dxa" w:w="3600"/>
          </w:tcPr>
          <w:p>
            <w:pPr>
              <w:spacing w:after="0" w:before="0" w:line="240" w:lineRule="auto"/>
              <w:jc w:val="left"/>
            </w:pPr>
            <w:r>
              <w:t>Location</w:t>
            </w:r>
          </w:p>
        </w:tc>
        <w:tc>
          <w:tcPr>
            <w:tcW w:type="dxa" w:w="3600"/>
          </w:tcPr>
          <w:p>
            <w:pPr>
              <w:spacing w:after="0" w:before="0" w:line="240" w:lineRule="auto"/>
              <w:jc w:val="left"/>
            </w:pPr>
            <w:r>
              <w:t>Official plant and production hierarchy</w:t>
            </w:r>
          </w:p>
        </w:tc>
        <w:tc>
          <w:tcPr>
            <w:tcW w:type="dxa" w:w="3600"/>
          </w:tcPr>
          <w:p>
            <w:pPr>
              <w:spacing w:after="0" w:before="0" w:line="240" w:lineRule="auto"/>
              <w:jc w:val="left"/>
            </w:pPr>
            <w:r>
              <w:t>Shop, line, cell, station</w:t>
            </w:r>
          </w:p>
        </w:tc>
      </w:tr>
      <w:tr>
        <w:tc>
          <w:tcPr>
            <w:tcW w:type="dxa" w:w="3600"/>
          </w:tcPr>
          <w:p>
            <w:pPr>
              <w:spacing w:after="0" w:before="0" w:line="240" w:lineRule="auto"/>
              <w:jc w:val="left"/>
            </w:pPr>
            <w:r>
              <w:t>Asset number</w:t>
            </w:r>
          </w:p>
        </w:tc>
        <w:tc>
          <w:tcPr>
            <w:tcW w:type="dxa" w:w="3600"/>
          </w:tcPr>
          <w:p>
            <w:pPr>
              <w:spacing w:after="0" w:before="0" w:line="240" w:lineRule="auto"/>
              <w:jc w:val="left"/>
            </w:pPr>
            <w:r>
              <w:t>Link to the plant's asset-management system</w:t>
            </w:r>
          </w:p>
        </w:tc>
        <w:tc>
          <w:tcPr>
            <w:tcW w:type="dxa" w:w="3600"/>
          </w:tcPr>
          <w:p>
            <w:pPr>
              <w:spacing w:after="0" w:before="0" w:line="240" w:lineRule="auto"/>
              <w:jc w:val="left"/>
            </w:pPr>
            <w:r>
              <w:t>Approved SAP equipment or asset ID</w:t>
            </w:r>
          </w:p>
        </w:tc>
      </w:tr>
      <w:tr>
        <w:tc>
          <w:tcPr>
            <w:tcW w:type="dxa" w:w="3600"/>
          </w:tcPr>
          <w:p>
            <w:pPr>
              <w:spacing w:after="0" w:before="0" w:line="240" w:lineRule="auto"/>
              <w:jc w:val="left"/>
            </w:pPr>
            <w:r>
              <w:t>Installation date</w:t>
            </w:r>
          </w:p>
        </w:tc>
        <w:tc>
          <w:tcPr>
            <w:tcW w:type="dxa" w:w="3600"/>
          </w:tcPr>
          <w:p>
            <w:pPr>
              <w:spacing w:after="0" w:before="0" w:line="240" w:lineRule="auto"/>
              <w:jc w:val="left"/>
            </w:pPr>
            <w:r>
              <w:t>Installation or commissioning date, if known</w:t>
            </w:r>
          </w:p>
        </w:tc>
        <w:tc>
          <w:tcPr>
            <w:tcW w:type="dxa" w:w="3600"/>
          </w:tcPr>
          <w:p>
            <w:pPr>
              <w:spacing w:after="0" w:before="0" w:line="240" w:lineRule="auto"/>
              <w:jc w:val="left"/>
            </w:pPr>
            <w:r>
              <w:t>Verified date</w:t>
            </w:r>
          </w:p>
        </w:tc>
      </w:tr>
      <w:tr>
        <w:tc>
          <w:tcPr>
            <w:tcW w:type="dxa" w:w="3600"/>
          </w:tcPr>
          <w:p>
            <w:pPr>
              <w:spacing w:after="0" w:before="0" w:line="240" w:lineRule="auto"/>
              <w:jc w:val="left"/>
            </w:pPr>
            <w:r>
              <w:t>Commissioning status</w:t>
            </w:r>
          </w:p>
        </w:tc>
        <w:tc>
          <w:tcPr>
            <w:tcW w:type="dxa" w:w="3600"/>
          </w:tcPr>
          <w:p>
            <w:pPr>
              <w:spacing w:after="0" w:before="0" w:line="240" w:lineRule="auto"/>
              <w:jc w:val="left"/>
            </w:pPr>
            <w:r>
              <w:t>Current lifecycle state</w:t>
            </w:r>
          </w:p>
        </w:tc>
        <w:tc>
          <w:tcPr>
            <w:tcW w:type="dxa" w:w="3600"/>
          </w:tcPr>
          <w:p>
            <w:pPr>
              <w:spacing w:after="0" w:before="0" w:line="240" w:lineRule="auto"/>
              <w:jc w:val="left"/>
            </w:pPr>
            <w:r>
              <w:t>Commissioned, standby, decommissioned</w:t>
            </w:r>
          </w:p>
        </w:tc>
      </w:tr>
      <w:tr>
        <w:tc>
          <w:tcPr>
            <w:tcW w:type="dxa" w:w="3600"/>
          </w:tcPr>
          <w:p>
            <w:pPr>
              <w:spacing w:after="0" w:before="0" w:line="240" w:lineRule="auto"/>
              <w:jc w:val="left"/>
            </w:pPr>
            <w:r>
              <w:t>Responsible department</w:t>
            </w:r>
          </w:p>
        </w:tc>
        <w:tc>
          <w:tcPr>
            <w:tcW w:type="dxa" w:w="3600"/>
          </w:tcPr>
          <w:p>
            <w:pPr>
              <w:spacing w:after="0" w:before="0" w:line="240" w:lineRule="auto"/>
              <w:jc w:val="left"/>
            </w:pPr>
            <w:r>
              <w:t>Accountable functional group</w:t>
            </w:r>
          </w:p>
        </w:tc>
        <w:tc>
          <w:tcPr>
            <w:tcW w:type="dxa" w:w="3600"/>
          </w:tcPr>
          <w:p>
            <w:pPr>
              <w:spacing w:after="0" w:before="0" w:line="240" w:lineRule="auto"/>
              <w:jc w:val="left"/>
            </w:pPr>
            <w:r>
              <w:t>Central Maintenance or Production</w:t>
            </w:r>
          </w:p>
        </w:tc>
      </w:tr>
      <w:tr>
        <w:tc>
          <w:tcPr>
            <w:tcW w:type="dxa" w:w="3600"/>
          </w:tcPr>
          <w:p>
            <w:pPr>
              <w:spacing w:after="0" w:before="0" w:line="240" w:lineRule="auto"/>
              <w:jc w:val="left"/>
            </w:pPr>
            <w:r>
              <w:t>Documentation location</w:t>
            </w:r>
          </w:p>
        </w:tc>
        <w:tc>
          <w:tcPr>
            <w:tcW w:type="dxa" w:w="3600"/>
          </w:tcPr>
          <w:p>
            <w:pPr>
              <w:spacing w:after="0" w:before="0" w:line="240" w:lineRule="auto"/>
              <w:jc w:val="left"/>
            </w:pPr>
            <w:r>
              <w:t>Approved location of technical records</w:t>
            </w:r>
          </w:p>
        </w:tc>
        <w:tc>
          <w:tcPr>
            <w:tcW w:type="dxa" w:w="3600"/>
          </w:tcPr>
          <w:p>
            <w:pPr>
              <w:spacing w:after="0" w:before="0" w:line="240" w:lineRule="auto"/>
              <w:jc w:val="left"/>
            </w:pPr>
            <w:r>
              <w:t>Controlled document repository</w:t>
            </w:r>
          </w:p>
        </w:tc>
      </w:tr>
      <w:tr>
        <w:tc>
          <w:tcPr>
            <w:tcW w:type="dxa" w:w="3600"/>
          </w:tcPr>
          <w:p>
            <w:pPr>
              <w:spacing w:after="0" w:before="0" w:line="240" w:lineRule="auto"/>
              <w:jc w:val="left"/>
            </w:pPr>
            <w:r>
              <w:t>Record owner</w:t>
            </w:r>
          </w:p>
        </w:tc>
        <w:tc>
          <w:tcPr>
            <w:tcW w:type="dxa" w:w="3600"/>
          </w:tcPr>
          <w:p>
            <w:pPr>
              <w:spacing w:after="0" w:before="0" w:line="240" w:lineRule="auto"/>
              <w:jc w:val="left"/>
            </w:pPr>
            <w:r>
              <w:t>Role responsible for maintaining the entry</w:t>
            </w:r>
          </w:p>
        </w:tc>
        <w:tc>
          <w:tcPr>
            <w:tcW w:type="dxa" w:w="3600"/>
          </w:tcPr>
          <w:p>
            <w:pPr>
              <w:spacing w:after="0" w:before="0" w:line="240" w:lineRule="auto"/>
              <w:jc w:val="left"/>
            </w:pPr>
            <w:r>
              <w:t>Assigned engineering or maintenance role</w:t>
            </w:r>
          </w:p>
        </w:tc>
      </w:tr>
    </w:tbl>
    <w:p/>
    <w:p>
      <w:r>
        <w:t>Do not confuse the internal Machine ID with the manufacturer's serial number or SAP equipment number. They may refer to the same physical machine through different identification systems, but each serves a different purpose.</w:t>
      </w:r>
    </w:p>
    <w:p>
      <w:pPr>
        <w:pStyle w:val="Heading2"/>
      </w:pPr>
      <w:r>
        <w:t>5. Distinguishing Machine Make, Model, Serial Number, and Asset ID</w:t>
      </w:r>
    </w:p>
    <w:p>
      <w:r>
        <w:t>These terms are frequently mixed up in maintenance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Make</w:t>
            </w:r>
          </w:p>
        </w:tc>
        <w:tc>
          <w:tcPr>
            <w:tcW w:type="dxa" w:w="3600"/>
          </w:tcPr>
          <w:p>
            <w:pPr>
              <w:spacing w:after="0" w:before="0" w:line="240" w:lineRule="auto"/>
              <w:jc w:val="left"/>
            </w:pPr>
            <w:r>
              <w:t>Manufacturer or machine builder</w:t>
            </w:r>
          </w:p>
        </w:tc>
        <w:tc>
          <w:tcPr>
            <w:tcW w:type="dxa" w:w="3600"/>
          </w:tcPr>
          <w:p>
            <w:pPr>
              <w:spacing w:after="0" w:before="0" w:line="240" w:lineRule="auto"/>
              <w:jc w:val="left"/>
            </w:pPr>
            <w:r>
              <w:t>Manufacturer name</w:t>
            </w:r>
          </w:p>
        </w:tc>
      </w:tr>
      <w:tr>
        <w:tc>
          <w:tcPr>
            <w:tcW w:type="dxa" w:w="3600"/>
          </w:tcPr>
          <w:p>
            <w:pPr>
              <w:spacing w:after="0" w:before="0" w:line="240" w:lineRule="auto"/>
              <w:jc w:val="left"/>
            </w:pPr>
            <w:r>
              <w:t>Model</w:t>
            </w:r>
          </w:p>
        </w:tc>
        <w:tc>
          <w:tcPr>
            <w:tcW w:type="dxa" w:w="3600"/>
          </w:tcPr>
          <w:p>
            <w:pPr>
              <w:spacing w:after="0" w:before="0" w:line="240" w:lineRule="auto"/>
              <w:jc w:val="left"/>
            </w:pPr>
            <w:r>
              <w:t>Product or machine type designation</w:t>
            </w:r>
          </w:p>
        </w:tc>
        <w:tc>
          <w:tcPr>
            <w:tcW w:type="dxa" w:w="3600"/>
          </w:tcPr>
          <w:p>
            <w:pPr>
              <w:spacing w:after="0" w:before="0" w:line="240" w:lineRule="auto"/>
              <w:jc w:val="left"/>
            </w:pPr>
            <w:r>
              <w:t>Model shown on the nameplate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Unique identifier assigned by the manufacturer</w:t>
            </w:r>
          </w:p>
        </w:tc>
        <w:tc>
          <w:tcPr>
            <w:tcW w:type="dxa" w:w="3600"/>
          </w:tcPr>
          <w:p>
            <w:pPr>
              <w:spacing w:after="0" w:before="0" w:line="240" w:lineRule="auto"/>
              <w:jc w:val="left"/>
            </w:pPr>
            <w:r>
              <w:t>Exact serial number</w:t>
            </w:r>
          </w:p>
        </w:tc>
      </w:tr>
      <w:tr>
        <w:tc>
          <w:tcPr>
            <w:tcW w:type="dxa" w:w="3600"/>
          </w:tcPr>
          <w:p>
            <w:pPr>
              <w:spacing w:after="0" w:before="0" w:line="240" w:lineRule="auto"/>
              <w:jc w:val="left"/>
            </w:pPr>
            <w:r>
              <w:t>Machine ID</w:t>
            </w:r>
          </w:p>
        </w:tc>
        <w:tc>
          <w:tcPr>
            <w:tcW w:type="dxa" w:w="3600"/>
          </w:tcPr>
          <w:p>
            <w:pPr>
              <w:spacing w:after="0" w:before="0" w:line="240" w:lineRule="auto"/>
              <w:jc w:val="left"/>
            </w:pPr>
            <w:r>
              <w:t>Internal identifier defined by the plant</w:t>
            </w:r>
          </w:p>
        </w:tc>
        <w:tc>
          <w:tcPr>
            <w:tcW w:type="dxa" w:w="3600"/>
          </w:tcPr>
          <w:p>
            <w:pPr>
              <w:spacing w:after="0" w:before="0" w:line="240" w:lineRule="auto"/>
              <w:jc w:val="left"/>
            </w:pPr>
            <w:r>
              <w:rPr>
                <w:rFonts w:ascii="Consolas" w:hAnsi="Consolas"/>
                <w:color w:val="333333"/>
                <w:sz w:val="19"/>
                <w:shd w:val="clear" w:color="auto" w:fill="EFEFEF"/>
              </w:rPr>
              <w:t>MCH-TST-003</w:t>
            </w:r>
          </w:p>
        </w:tc>
      </w:tr>
      <w:tr>
        <w:tc>
          <w:tcPr>
            <w:tcW w:type="dxa" w:w="3600"/>
          </w:tcPr>
          <w:p>
            <w:pPr>
              <w:spacing w:after="0" w:before="0" w:line="240" w:lineRule="auto"/>
              <w:jc w:val="left"/>
            </w:pPr>
            <w:r>
              <w:t>SAP equipment number</w:t>
            </w:r>
          </w:p>
        </w:tc>
        <w:tc>
          <w:tcPr>
            <w:tcW w:type="dxa" w:w="3600"/>
          </w:tcPr>
          <w:p>
            <w:pPr>
              <w:spacing w:after="0" w:before="0" w:line="240" w:lineRule="auto"/>
              <w:jc w:val="left"/>
            </w:pPr>
            <w:r>
              <w:t>Equipment identifier in the SAP system</w:t>
            </w:r>
          </w:p>
        </w:tc>
        <w:tc>
          <w:tcPr>
            <w:tcW w:type="dxa" w:w="3600"/>
          </w:tcPr>
          <w:p>
            <w:pPr>
              <w:spacing w:after="0" w:before="0" w:line="240" w:lineRule="auto"/>
              <w:jc w:val="left"/>
            </w:pPr>
            <w:r>
              <w:t>Exact equipment master identifier</w:t>
            </w:r>
          </w:p>
        </w:tc>
      </w:tr>
      <w:tr>
        <w:tc>
          <w:tcPr>
            <w:tcW w:type="dxa" w:w="3600"/>
          </w:tcPr>
          <w:p>
            <w:pPr>
              <w:spacing w:after="0" w:before="0" w:line="240" w:lineRule="auto"/>
              <w:jc w:val="left"/>
            </w:pPr>
            <w:r>
              <w:t>Location code</w:t>
            </w:r>
          </w:p>
        </w:tc>
        <w:tc>
          <w:tcPr>
            <w:tcW w:type="dxa" w:w="3600"/>
          </w:tcPr>
          <w:p>
            <w:pPr>
              <w:spacing w:after="0" w:before="0" w:line="240" w:lineRule="auto"/>
              <w:jc w:val="left"/>
            </w:pPr>
            <w:r>
              <w:t>Identifier for the installed physical position</w:t>
            </w:r>
          </w:p>
        </w:tc>
        <w:tc>
          <w:tcPr>
            <w:tcW w:type="dxa" w:w="3600"/>
          </w:tcPr>
          <w:p>
            <w:pPr>
              <w:spacing w:after="0" w:before="0" w:line="240" w:lineRule="auto"/>
              <w:jc w:val="left"/>
            </w:pPr>
            <w:r>
              <w:t>Official line or station code</w:t>
            </w:r>
          </w:p>
        </w:tc>
      </w:tr>
    </w:tbl>
    <w:p/>
    <w:p>
      <w:r>
        <w:t>One machine can have several valid identifiers. The machine knowledge base should maintain their relationships rather than replacing one with another.</w:t>
      </w:r>
    </w:p>
    <w:p>
      <w:r>
        <w:t>For example, a maintenance technician might search by machine name, a planner might search by SAP equipment number, and an OEM technician might ask for the serial number. All should lead to the same machine record.</w:t>
      </w:r>
    </w:p>
    <w:p>
      <w:pPr>
        <w:pStyle w:val="Heading2"/>
      </w:pPr>
      <w:r>
        <w:t>6. Creating a Consistent Machine Naming Convention</w:t>
      </w:r>
    </w:p>
    <w:p>
      <w:r>
        <w:t>A naming convention reduces ambiguity and improves searching, reporting, and integration between systems.</w:t>
      </w:r>
    </w:p>
    <w:p>
      <w:r>
        <w:t>A possible pattern is:</w:t>
      </w:r>
    </w:p>
    <w:p>
      <w:pPr>
        <w:shd w:val="clear" w:color="auto" w:fill="F4F4F4"/>
        <w:spacing w:before="0" w:after="0" w:line="240" w:lineRule="auto"/>
        <w:ind w:left="216" w:right="216"/>
        <w:jc w:val="left"/>
      </w:pPr>
      <w:r>
        <w:rPr>
          <w:rFonts w:ascii="Consolas" w:hAnsi="Consolas"/>
          <w:color w:val="202020"/>
          <w:sz w:val="18"/>
        </w:rPr>
        <w:t>[Process or Machine Type] [Station or Sequence Number]</w:t>
      </w:r>
    </w:p>
    <w:p/>
    <w:p>
      <w:r>
        <w:t>Examples:</w:t>
      </w:r>
    </w:p>
    <w:p>
      <w:pPr>
        <w:pStyle w:val="ListBullet"/>
      </w:pPr>
      <w:r>
        <w:rPr>
          <w:rFonts w:ascii="Consolas" w:hAnsi="Consolas"/>
          <w:color w:val="333333"/>
          <w:sz w:val="19"/>
          <w:shd w:val="clear" w:color="auto" w:fill="EFEFEF"/>
        </w:rPr>
        <w:t>Engine Test Bench 03</w:t>
      </w:r>
    </w:p>
    <w:p>
      <w:pPr>
        <w:pStyle w:val="ListBullet"/>
      </w:pPr>
      <w:r>
        <w:rPr>
          <w:rFonts w:ascii="Consolas" w:hAnsi="Consolas"/>
          <w:color w:val="333333"/>
          <w:sz w:val="19"/>
          <w:shd w:val="clear" w:color="auto" w:fill="EFEFEF"/>
        </w:rPr>
        <w:t>CNC Machining Centre 02</w:t>
      </w:r>
    </w:p>
    <w:p>
      <w:pPr>
        <w:pStyle w:val="ListBullet"/>
      </w:pPr>
      <w:r>
        <w:rPr>
          <w:rFonts w:ascii="Consolas" w:hAnsi="Consolas"/>
          <w:color w:val="333333"/>
          <w:sz w:val="19"/>
          <w:shd w:val="clear" w:color="auto" w:fill="EFEFEF"/>
        </w:rPr>
        <w:t>Robotic Welding Station 05</w:t>
      </w:r>
    </w:p>
    <w:p>
      <w:pPr>
        <w:pStyle w:val="ListBullet"/>
      </w:pPr>
      <w:r>
        <w:rPr>
          <w:rFonts w:ascii="Consolas" w:hAnsi="Consolas"/>
          <w:color w:val="333333"/>
          <w:sz w:val="19"/>
          <w:shd w:val="clear" w:color="auto" w:fill="EFEFEF"/>
        </w:rPr>
        <w:t>Torque Verification Station 01</w:t>
      </w:r>
    </w:p>
    <w:p>
      <w:r>
        <w:t>An internal ID can use a separate, stable format:</w:t>
      </w:r>
    </w:p>
    <w:p>
      <w:pPr>
        <w:shd w:val="clear" w:color="auto" w:fill="F4F4F4"/>
        <w:spacing w:before="0" w:after="0" w:line="240" w:lineRule="auto"/>
        <w:ind w:left="216" w:right="216"/>
        <w:jc w:val="left"/>
      </w:pPr>
      <w:r>
        <w:rPr>
          <w:rFonts w:ascii="Consolas" w:hAnsi="Consolas"/>
          <w:color w:val="202020"/>
          <w:sz w:val="18"/>
        </w:rPr>
        <w:t>MCH-[TYPE]-[NUMBER]</w:t>
      </w:r>
    </w:p>
    <w:p/>
    <w:p>
      <w:r>
        <w:t>Examples:</w:t>
      </w:r>
    </w:p>
    <w:p>
      <w:pPr>
        <w:pStyle w:val="ListBullet"/>
      </w:pPr>
      <w:r>
        <w:rPr>
          <w:rFonts w:ascii="Consolas" w:hAnsi="Consolas"/>
          <w:color w:val="333333"/>
          <w:sz w:val="19"/>
          <w:shd w:val="clear" w:color="auto" w:fill="EFEFEF"/>
        </w:rPr>
        <w:t>MCH-TST-003</w:t>
      </w:r>
    </w:p>
    <w:p>
      <w:pPr>
        <w:pStyle w:val="ListBullet"/>
      </w:pPr>
      <w:r>
        <w:rPr>
          <w:rFonts w:ascii="Consolas" w:hAnsi="Consolas"/>
          <w:color w:val="333333"/>
          <w:sz w:val="19"/>
          <w:shd w:val="clear" w:color="auto" w:fill="EFEFEF"/>
        </w:rPr>
        <w:t>MCH-CNC-002</w:t>
      </w:r>
    </w:p>
    <w:p>
      <w:pPr>
        <w:pStyle w:val="ListBullet"/>
      </w:pPr>
      <w:r>
        <w:rPr>
          <w:rFonts w:ascii="Consolas" w:hAnsi="Consolas"/>
          <w:color w:val="333333"/>
          <w:sz w:val="19"/>
          <w:shd w:val="clear" w:color="auto" w:fill="EFEFEF"/>
        </w:rPr>
        <w:t>MCH-RBT-005</w:t>
      </w:r>
    </w:p>
    <w:p>
      <w:r>
        <w:t>These patterns are examples, not universal standards. The plant's approved asset naming convention takes precedence.</w:t>
      </w:r>
    </w:p>
    <w:p>
      <w:pPr>
        <w:pStyle w:val="Heading3"/>
      </w:pPr>
      <w:r>
        <w:t>6.1 Naming rules</w:t>
      </w:r>
    </w:p>
    <w:p>
      <w:pPr>
        <w:pStyle w:val="ListBullet"/>
      </w:pPr>
      <w:r>
        <w:t>Use one official name for each machine.</w:t>
      </w:r>
    </w:p>
    <w:p>
      <w:pPr>
        <w:pStyle w:val="ListBullet"/>
      </w:pPr>
      <w:r>
        <w:t>Use consistent spelling and abbreviations.</w:t>
      </w:r>
    </w:p>
    <w:p>
      <w:pPr>
        <w:pStyle w:val="ListBullet"/>
      </w:pPr>
      <w:r>
        <w:t>Use leading zeros if required by the plant's sorting convention.</w:t>
      </w:r>
    </w:p>
    <w:p>
      <w:pPr>
        <w:pStyle w:val="ListBullet"/>
      </w:pPr>
      <w:r>
        <w:t>Avoid embedding frequently changing information such as shift, operator name, or temporary breakdown status.</w:t>
      </w:r>
    </w:p>
    <w:p>
      <w:pPr>
        <w:pStyle w:val="ListBullet"/>
      </w:pPr>
      <w:r>
        <w:t>Do not reuse a retired machine ID for unrelated new equipment.</w:t>
      </w:r>
    </w:p>
    <w:p>
      <w:pPr>
        <w:pStyle w:val="ListBullet"/>
      </w:pPr>
      <w:r>
        <w:t>Record aliases separately if production and maintenance use different names.</w:t>
      </w:r>
    </w:p>
    <w:p>
      <w:pPr>
        <w:pStyle w:val="ListBullet"/>
      </w:pPr>
      <w:r>
        <w:t>Define whether an integrated line, individual station, or subsystem receives its own ID.</w:t>
      </w:r>
    </w:p>
    <w:p>
      <w:pPr>
        <w:pStyle w:val="ListBullet"/>
      </w:pPr>
      <w:r>
        <w:t>Keep identifiers stable when the machine is relocated, while updating its location field and history.</w:t>
      </w:r>
    </w:p>
    <w:p>
      <w:r>
        <w:t>A machine name should identify the machine. Its location should tell people where it currently is. Combining both into one field makes relocation and historical reporting unnecessarily messy.</w:t>
      </w:r>
    </w:p>
    <w:p>
      <w:pPr>
        <w:pStyle w:val="Heading2"/>
      </w:pPr>
      <w:r>
        <w:t>7. Identifying the Machine Correctly on the Shop Floor</w:t>
      </w:r>
    </w:p>
    <w:p>
      <w:r>
        <w:t>The overview should be based on verified evidence rather than assumptions.</w:t>
      </w:r>
    </w:p>
    <w:p>
      <w:pPr>
        <w:pStyle w:val="Heading3"/>
      </w:pPr>
      <w:r>
        <w:t>7.1 Sources of identification</w:t>
      </w:r>
    </w:p>
    <w:p>
      <w:r>
        <w:t>Use the following sources, in order of relevance to the field being verified:</w:t>
      </w:r>
    </w:p>
    <w:p>
      <w:pPr>
        <w:tabs>
          <w:tab w:pos="403" w:val="left"/>
        </w:tabs>
        <w:spacing w:after="40" w:line="276" w:lineRule="auto"/>
        <w:ind w:left="403" w:hanging="403"/>
        <w:jc w:val="left"/>
      </w:pPr>
      <w:r>
        <w:rPr>
          <w:color w:val="1A2E4A"/>
        </w:rPr>
        <w:t>1.</w:t>
        <w:tab/>
      </w:r>
      <w:r>
        <w:t>Machine nameplate: Manufacturer, model, serial number, electrical ratings, and other declared machine information.</w:t>
      </w:r>
    </w:p>
    <w:p>
      <w:pPr>
        <w:tabs>
          <w:tab w:pos="403" w:val="left"/>
        </w:tabs>
        <w:spacing w:after="40" w:line="276" w:lineRule="auto"/>
        <w:ind w:left="403" w:hanging="403"/>
        <w:jc w:val="left"/>
      </w:pPr>
      <w:r>
        <w:rPr>
          <w:color w:val="1A2E4A"/>
        </w:rPr>
        <w:t>2.</w:t>
        <w:tab/>
      </w:r>
      <w:r>
        <w:t>Plant asset register or SAP equipment master: Internal asset number, equipment description, and registered location.</w:t>
      </w:r>
    </w:p>
    <w:p>
      <w:pPr>
        <w:tabs>
          <w:tab w:pos="403" w:val="left"/>
        </w:tabs>
        <w:spacing w:after="40" w:line="276" w:lineRule="auto"/>
        <w:ind w:left="403" w:hanging="403"/>
        <w:jc w:val="left"/>
      </w:pPr>
      <w:r>
        <w:rPr>
          <w:color w:val="1A2E4A"/>
        </w:rPr>
        <w:t>3.</w:t>
        <w:tab/>
      </w:r>
      <w:r>
        <w:t>OEM documentation: Machine type, intended purpose, technical specifications, and original configuration.</w:t>
      </w:r>
    </w:p>
    <w:p>
      <w:pPr>
        <w:tabs>
          <w:tab w:pos="403" w:val="left"/>
        </w:tabs>
        <w:spacing w:after="40" w:line="276" w:lineRule="auto"/>
        <w:ind w:left="403" w:hanging="403"/>
        <w:jc w:val="left"/>
      </w:pPr>
      <w:r>
        <w:rPr>
          <w:color w:val="1A2E4A"/>
        </w:rPr>
        <w:t>4.</w:t>
        <w:tab/>
      </w:r>
      <w:r>
        <w:t>Approved engineering drawings: Machine layout, station designation, and subsystem boundaries.</w:t>
      </w:r>
    </w:p>
    <w:p>
      <w:pPr>
        <w:tabs>
          <w:tab w:pos="403" w:val="left"/>
        </w:tabs>
        <w:spacing w:after="40" w:line="276" w:lineRule="auto"/>
        <w:ind w:left="403" w:hanging="403"/>
        <w:jc w:val="left"/>
      </w:pPr>
      <w:r>
        <w:rPr>
          <w:color w:val="1A2E4A"/>
        </w:rPr>
        <w:t>5.</w:t>
        <w:tab/>
      </w:r>
      <w:r>
        <w:t>Production documentation: Process function, line assignment, and station purpose.</w:t>
      </w:r>
    </w:p>
    <w:p>
      <w:pPr>
        <w:tabs>
          <w:tab w:pos="403" w:val="left"/>
        </w:tabs>
        <w:spacing w:after="40" w:line="276" w:lineRule="auto"/>
        <w:ind w:left="403" w:hanging="403"/>
        <w:jc w:val="left"/>
      </w:pPr>
      <w:r>
        <w:rPr>
          <w:color w:val="1A2E4A"/>
        </w:rPr>
        <w:t>6.</w:t>
        <w:tab/>
      </w:r>
      <w:r>
        <w:t>Physical inspection: Machine labels, nameplates, location markings, and installed equipment.</w:t>
      </w:r>
    </w:p>
    <w:p>
      <w:pPr>
        <w:tabs>
          <w:tab w:pos="403" w:val="left"/>
        </w:tabs>
        <w:spacing w:after="40" w:line="276" w:lineRule="auto"/>
        <w:ind w:left="403" w:hanging="403"/>
        <w:jc w:val="left"/>
      </w:pPr>
      <w:r>
        <w:rPr>
          <w:color w:val="1A2E4A"/>
        </w:rPr>
        <w:t>7.</w:t>
        <w:tab/>
      </w:r>
      <w:r>
        <w:t>Maintenance history: Existing breakdown reports and equipment references, used as supporting evidence.</w:t>
      </w:r>
    </w:p>
    <w:p>
      <w:r>
        <w:t>If the machine nameplate is missing or illegible, record the identification as unverified and follow the plant's identification procedure. Do not infer a serial number or machine model from a PLC part number.</w:t>
      </w:r>
    </w:p>
    <w:p>
      <w:pPr>
        <w:pStyle w:val="Heading3"/>
      </w:pPr>
      <w:r>
        <w:t>7.2 Machine versus control-system identity</w:t>
      </w:r>
    </w:p>
    <w:p>
      <w:r>
        <w:t>Consider an automated machining station containing:</w:t>
      </w:r>
    </w:p>
    <w:p>
      <w:pPr>
        <w:pStyle w:val="ListBullet"/>
      </w:pPr>
      <w:r>
        <w:t>A CNC controller.</w:t>
      </w:r>
    </w:p>
    <w:p>
      <w:pPr>
        <w:pStyle w:val="ListBullet"/>
      </w:pPr>
      <w:r>
        <w:t>A PLC for auxiliary functions.</w:t>
      </w:r>
    </w:p>
    <w:p>
      <w:pPr>
        <w:pStyle w:val="ListBullet"/>
      </w:pPr>
      <w:r>
        <w:t>Servo drives and motors.</w:t>
      </w:r>
    </w:p>
    <w:p>
      <w:pPr>
        <w:pStyle w:val="ListBullet"/>
      </w:pPr>
      <w:r>
        <w:t>A hydraulic power unit.</w:t>
      </w:r>
    </w:p>
    <w:p>
      <w:pPr>
        <w:pStyle w:val="ListBullet"/>
      </w:pPr>
      <w:r>
        <w:t>An industrial PC.</w:t>
      </w:r>
    </w:p>
    <w:p>
      <w:pPr>
        <w:pStyle w:val="ListBullet"/>
      </w:pPr>
      <w:r>
        <w:t>An HMI panel.</w:t>
      </w:r>
    </w:p>
    <w:p>
      <w:pPr>
        <w:pStyle w:val="ListBullet"/>
      </w:pPr>
      <w:r>
        <w:t>An industrial Ethernet switch.</w:t>
      </w:r>
    </w:p>
    <w:p>
      <w:r>
        <w:t>The machine overview describes the complete machining station. Separate records should identify the CNC controller, PLC, drives, IPC, HMI, switch, and hydraulic subsystem where detailed maintenance knowledge is required.</w:t>
      </w:r>
    </w:p>
    <w:p>
      <w:r>
        <w:t>This separation becomes important when a component is replaced but the machine itself remains the same.</w:t>
      </w:r>
    </w:p>
    <w:p>
      <w:pPr>
        <w:pStyle w:val="Heading2"/>
      </w:pPr>
      <w:r>
        <w:t>8. Example: Completed Machine Overview Record</w:t>
      </w:r>
    </w:p>
    <w:p>
      <w:r>
        <w:t>The following is an illustrative example. It is not a claim about a specific installed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Machine ID</w:t>
            </w:r>
          </w:p>
        </w:tc>
        <w:tc>
          <w:tcPr>
            <w:tcW w:type="dxa" w:w="5400"/>
          </w:tcPr>
          <w:p>
            <w:pPr>
              <w:spacing w:after="0" w:before="0" w:line="240" w:lineRule="auto"/>
              <w:jc w:val="left"/>
            </w:pPr>
            <w:r>
              <w:rPr>
                <w:rFonts w:ascii="Consolas" w:hAnsi="Consolas"/>
                <w:color w:val="333333"/>
                <w:sz w:val="19"/>
                <w:shd w:val="clear" w:color="auto" w:fill="EFEFEF"/>
              </w:rPr>
              <w:t>MCH-TST-003</w:t>
            </w:r>
          </w:p>
        </w:tc>
      </w:tr>
      <w:tr>
        <w:tc>
          <w:tcPr>
            <w:tcW w:type="dxa" w:w="5400"/>
          </w:tcPr>
          <w:p>
            <w:pPr>
              <w:spacing w:after="0" w:before="0" w:line="240" w:lineRule="auto"/>
              <w:jc w:val="left"/>
            </w:pPr>
            <w:r>
              <w:t>Machine name</w:t>
            </w:r>
          </w:p>
        </w:tc>
        <w:tc>
          <w:tcPr>
            <w:tcW w:type="dxa" w:w="5400"/>
          </w:tcPr>
          <w:p>
            <w:pPr>
              <w:spacing w:after="0" w:before="0" w:line="240" w:lineRule="auto"/>
              <w:jc w:val="left"/>
            </w:pPr>
            <w:r>
              <w:rPr>
                <w:rFonts w:ascii="Consolas" w:hAnsi="Consolas"/>
                <w:color w:val="333333"/>
                <w:sz w:val="19"/>
                <w:shd w:val="clear" w:color="auto" w:fill="EFEFEF"/>
              </w:rPr>
              <w:t>Engine Test Bench 03</w:t>
            </w:r>
          </w:p>
        </w:tc>
      </w:tr>
      <w:tr>
        <w:tc>
          <w:tcPr>
            <w:tcW w:type="dxa" w:w="5400"/>
          </w:tcPr>
          <w:p>
            <w:pPr>
              <w:spacing w:after="0" w:before="0" w:line="240" w:lineRule="auto"/>
              <w:jc w:val="left"/>
            </w:pPr>
            <w:r>
              <w:t>Make</w:t>
            </w:r>
          </w:p>
        </w:tc>
        <w:tc>
          <w:tcPr>
            <w:tcW w:type="dxa" w:w="5400"/>
          </w:tcPr>
          <w:p>
            <w:pPr>
              <w:spacing w:after="0" w:before="0" w:line="240" w:lineRule="auto"/>
              <w:jc w:val="left"/>
            </w:pPr>
            <w:r>
              <w:rPr>
                <w:rFonts w:ascii="Consolas" w:hAnsi="Consolas"/>
                <w:color w:val="333333"/>
                <w:sz w:val="19"/>
                <w:shd w:val="clear" w:color="auto" w:fill="EFEFEF"/>
              </w:rPr>
              <w:t>Verified test-bench OEM</w:t>
            </w:r>
          </w:p>
        </w:tc>
      </w:tr>
      <w:tr>
        <w:tc>
          <w:tcPr>
            <w:tcW w:type="dxa" w:w="5400"/>
          </w:tcPr>
          <w:p>
            <w:pPr>
              <w:spacing w:after="0" w:before="0" w:line="240" w:lineRule="auto"/>
              <w:jc w:val="left"/>
            </w:pPr>
            <w:r>
              <w:t>Model</w:t>
            </w:r>
          </w:p>
        </w:tc>
        <w:tc>
          <w:tcPr>
            <w:tcW w:type="dxa" w:w="5400"/>
          </w:tcPr>
          <w:p>
            <w:pPr>
              <w:spacing w:after="0" w:before="0" w:line="240" w:lineRule="auto"/>
              <w:jc w:val="left"/>
            </w:pPr>
            <w:r>
              <w:rPr>
                <w:rFonts w:ascii="Consolas" w:hAnsi="Consolas"/>
                <w:color w:val="333333"/>
                <w:sz w:val="19"/>
                <w:shd w:val="clear" w:color="auto" w:fill="EFEFEF"/>
              </w:rPr>
              <w:t>Record from machine nameplate</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rPr>
                <w:rFonts w:ascii="Consolas" w:hAnsi="Consolas"/>
                <w:color w:val="333333"/>
                <w:sz w:val="19"/>
                <w:shd w:val="clear" w:color="auto" w:fill="EFEFEF"/>
              </w:rPr>
              <w:t>Record from machine nameplate</w:t>
            </w:r>
          </w:p>
        </w:tc>
      </w:tr>
      <w:tr>
        <w:tc>
          <w:tcPr>
            <w:tcW w:type="dxa" w:w="5400"/>
          </w:tcPr>
          <w:p>
            <w:pPr>
              <w:spacing w:after="0" w:before="0" w:line="240" w:lineRule="auto"/>
              <w:jc w:val="left"/>
            </w:pPr>
            <w:r>
              <w:t>Purpose</w:t>
            </w:r>
          </w:p>
        </w:tc>
        <w:tc>
          <w:tcPr>
            <w:tcW w:type="dxa" w:w="5400"/>
          </w:tcPr>
          <w:p>
            <w:pPr>
              <w:spacing w:after="0" w:before="0" w:line="240" w:lineRule="auto"/>
              <w:jc w:val="left"/>
            </w:pPr>
            <w:r>
              <w:t>Measures defined engine operating parameters and evaluates results against approved test limits</w:t>
            </w:r>
          </w:p>
        </w:tc>
      </w:tr>
      <w:tr>
        <w:tc>
          <w:tcPr>
            <w:tcW w:type="dxa" w:w="5400"/>
          </w:tcPr>
          <w:p>
            <w:pPr>
              <w:spacing w:after="0" w:before="0" w:line="240" w:lineRule="auto"/>
              <w:jc w:val="left"/>
            </w:pPr>
            <w:r>
              <w:t>Location</w:t>
            </w:r>
          </w:p>
        </w:tc>
        <w:tc>
          <w:tcPr>
            <w:tcW w:type="dxa" w:w="5400"/>
          </w:tcPr>
          <w:p>
            <w:pPr>
              <w:spacing w:after="0" w:before="0" w:line="240" w:lineRule="auto"/>
              <w:jc w:val="left"/>
            </w:pPr>
            <w:r>
              <w:rPr>
                <w:rFonts w:ascii="Consolas" w:hAnsi="Consolas"/>
                <w:color w:val="333333"/>
                <w:sz w:val="19"/>
                <w:shd w:val="clear" w:color="auto" w:fill="EFEFEF"/>
              </w:rPr>
              <w:t>Pune Plant → CV Shop → Engine Test Area → Test Bench 03</w:t>
            </w:r>
          </w:p>
        </w:tc>
      </w:tr>
      <w:tr>
        <w:tc>
          <w:tcPr>
            <w:tcW w:type="dxa" w:w="5400"/>
          </w:tcPr>
          <w:p>
            <w:pPr>
              <w:spacing w:after="0" w:before="0" w:line="240" w:lineRule="auto"/>
              <w:jc w:val="left"/>
            </w:pPr>
            <w:r>
              <w:t>SAP equipment number</w:t>
            </w:r>
          </w:p>
        </w:tc>
        <w:tc>
          <w:tcPr>
            <w:tcW w:type="dxa" w:w="5400"/>
          </w:tcPr>
          <w:p>
            <w:pPr>
              <w:spacing w:after="0" w:before="0" w:line="240" w:lineRule="auto"/>
              <w:jc w:val="left"/>
            </w:pPr>
            <w:r>
              <w:rPr>
                <w:rFonts w:ascii="Consolas" w:hAnsi="Consolas"/>
                <w:color w:val="333333"/>
                <w:sz w:val="19"/>
                <w:shd w:val="clear" w:color="auto" w:fill="EFEFEF"/>
              </w:rPr>
              <w:t>Link to verified SAP equipment master</w:t>
            </w:r>
          </w:p>
        </w:tc>
      </w:tr>
      <w:tr>
        <w:tc>
          <w:tcPr>
            <w:tcW w:type="dxa" w:w="5400"/>
          </w:tcPr>
          <w:p>
            <w:pPr>
              <w:spacing w:after="0" w:before="0" w:line="240" w:lineRule="auto"/>
              <w:jc w:val="left"/>
            </w:pPr>
            <w:r>
              <w:t>Machine category</w:t>
            </w:r>
          </w:p>
        </w:tc>
        <w:tc>
          <w:tcPr>
            <w:tcW w:type="dxa" w:w="5400"/>
          </w:tcPr>
          <w:p>
            <w:pPr>
              <w:spacing w:after="0" w:before="0" w:line="240" w:lineRule="auto"/>
              <w:jc w:val="left"/>
            </w:pPr>
            <w:r>
              <w:rPr>
                <w:rFonts w:ascii="Consolas" w:hAnsi="Consolas"/>
                <w:color w:val="333333"/>
                <w:sz w:val="19"/>
                <w:shd w:val="clear" w:color="auto" w:fill="EFEFEF"/>
              </w:rPr>
              <w:t>Production test equipment</w:t>
            </w:r>
          </w:p>
        </w:tc>
      </w:tr>
      <w:tr>
        <w:tc>
          <w:tcPr>
            <w:tcW w:type="dxa" w:w="5400"/>
          </w:tcPr>
          <w:p>
            <w:pPr>
              <w:spacing w:after="0" w:before="0" w:line="240" w:lineRule="auto"/>
              <w:jc w:val="left"/>
            </w:pPr>
            <w:r>
              <w:t>Responsible department</w:t>
            </w:r>
          </w:p>
        </w:tc>
        <w:tc>
          <w:tcPr>
            <w:tcW w:type="dxa" w:w="5400"/>
          </w:tcPr>
          <w:p>
            <w:pPr>
              <w:spacing w:after="0" w:before="0" w:line="240" w:lineRule="auto"/>
              <w:jc w:val="left"/>
            </w:pPr>
            <w:r>
              <w:rPr>
                <w:rFonts w:ascii="Consolas" w:hAnsi="Consolas"/>
                <w:color w:val="333333"/>
                <w:sz w:val="19"/>
                <w:shd w:val="clear" w:color="auto" w:fill="EFEFEF"/>
              </w:rPr>
              <w:t>Assigned maintenance department</w:t>
            </w:r>
          </w:p>
        </w:tc>
      </w:tr>
      <w:tr>
        <w:tc>
          <w:tcPr>
            <w:tcW w:type="dxa" w:w="5400"/>
          </w:tcPr>
          <w:p>
            <w:pPr>
              <w:spacing w:after="0" w:before="0" w:line="240" w:lineRule="auto"/>
              <w:jc w:val="left"/>
            </w:pPr>
            <w:r>
              <w:t>Documentation location</w:t>
            </w:r>
          </w:p>
        </w:tc>
        <w:tc>
          <w:tcPr>
            <w:tcW w:type="dxa" w:w="5400"/>
          </w:tcPr>
          <w:p>
            <w:pPr>
              <w:spacing w:after="0" w:before="0" w:line="240" w:lineRule="auto"/>
              <w:jc w:val="left"/>
            </w:pPr>
            <w:r>
              <w:rPr>
                <w:rFonts w:ascii="Consolas" w:hAnsi="Consolas"/>
                <w:color w:val="333333"/>
                <w:sz w:val="19"/>
                <w:shd w:val="clear" w:color="auto" w:fill="EFEFEF"/>
              </w:rPr>
              <w:t>Approved technical document repository</w:t>
            </w:r>
          </w:p>
        </w:tc>
      </w:tr>
      <w:tr>
        <w:tc>
          <w:tcPr>
            <w:tcW w:type="dxa" w:w="5400"/>
          </w:tcPr>
          <w:p>
            <w:pPr>
              <w:spacing w:after="0" w:before="0" w:line="240" w:lineRule="auto"/>
              <w:jc w:val="left"/>
            </w:pPr>
            <w:r>
              <w:t>Record status</w:t>
            </w:r>
          </w:p>
        </w:tc>
        <w:tc>
          <w:tcPr>
            <w:tcW w:type="dxa" w:w="5400"/>
          </w:tcPr>
          <w:p>
            <w:pPr>
              <w:spacing w:after="0" w:before="0" w:line="240" w:lineRule="auto"/>
              <w:jc w:val="left"/>
            </w:pPr>
            <w:r>
              <w:rPr>
                <w:rFonts w:ascii="Consolas" w:hAnsi="Consolas"/>
                <w:color w:val="333333"/>
                <w:sz w:val="19"/>
                <w:shd w:val="clear" w:color="auto" w:fill="EFEFEF"/>
              </w:rPr>
              <w:t>Verified</w:t>
            </w:r>
            <w:r>
              <w:t xml:space="preserve"> or </w:t>
            </w:r>
            <w:r>
              <w:rPr>
                <w:rFonts w:ascii="Consolas" w:hAnsi="Consolas"/>
                <w:color w:val="333333"/>
                <w:sz w:val="19"/>
                <w:shd w:val="clear" w:color="auto" w:fill="EFEFEF"/>
              </w:rPr>
              <w:t>Pending verification</w:t>
            </w:r>
          </w:p>
        </w:tc>
      </w:tr>
    </w:tbl>
    <w:p/>
    <w:p>
      <w:r>
        <w:t>The example deliberately distinguishes verified information from fields that must be populated using actual plant records. A knowledge base full of invented serial numbers is just a spreadsheet wearing a hard hat.</w:t>
      </w:r>
    </w:p>
    <w:p>
      <w:pPr>
        <w:pStyle w:val="Heading2"/>
      </w:pPr>
      <w:r>
        <w:t>9. Machine Identity and the Asset Hierarchy</w:t>
      </w:r>
    </w:p>
    <w:p>
      <w:r>
        <w:t>A machine knowledge base should have a defined relationship between production assets and their maintainable subsystems.</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Production Line</w:t>
      </w:r>
    </w:p>
    <w:p>
      <w:pPr>
        <w:shd w:val="clear" w:color="auto" w:fill="F4F4F4"/>
        <w:spacing w:before="0" w:after="0" w:line="240" w:lineRule="auto"/>
        <w:ind w:left="216" w:right="216"/>
        <w:jc w:val="left"/>
      </w:pPr>
      <w:r>
        <w:rPr>
          <w:rFonts w:ascii="Consolas" w:hAnsi="Consolas"/>
          <w:color w:val="202020"/>
          <w:sz w:val="18"/>
        </w:rPr>
        <w:t>→ Machine or Station</w:t>
      </w:r>
    </w:p>
    <w:p>
      <w:pPr>
        <w:shd w:val="clear" w:color="auto" w:fill="F4F4F4"/>
        <w:spacing w:before="0" w:after="0" w:line="240" w:lineRule="auto"/>
        <w:ind w:left="216" w:right="216"/>
        <w:jc w:val="left"/>
      </w:pPr>
      <w:r>
        <w:rPr>
          <w:rFonts w:ascii="Consolas" w:hAnsi="Consolas"/>
          <w:color w:val="202020"/>
          <w:sz w:val="18"/>
        </w:rPr>
        <w:t>→ Subsystem</w:t>
      </w:r>
    </w:p>
    <w:p>
      <w:pPr>
        <w:shd w:val="clear" w:color="auto" w:fill="F4F4F4"/>
        <w:spacing w:before="0" w:after="0" w:line="240" w:lineRule="auto"/>
        <w:ind w:left="216" w:right="216"/>
        <w:jc w:val="left"/>
      </w:pPr>
      <w:r>
        <w:rPr>
          <w:rFonts w:ascii="Consolas" w:hAnsi="Consolas"/>
          <w:color w:val="202020"/>
          <w:sz w:val="18"/>
        </w:rPr>
        <w:t>→ Component</w:t>
      </w:r>
    </w:p>
    <w:p/>
    <w:p>
      <w:r>
        <w:t>Example:</w:t>
      </w:r>
    </w:p>
    <w:p>
      <w:pPr>
        <w:shd w:val="clear" w:color="auto" w:fill="F4F4F4"/>
        <w:spacing w:before="0" w:after="0" w:line="240" w:lineRule="auto"/>
        <w:ind w:left="216" w:right="216"/>
        <w:jc w:val="left"/>
      </w:pPr>
      <w:r>
        <w:rPr>
          <w:rFonts w:ascii="Consolas" w:hAnsi="Consolas"/>
          <w:color w:val="202020"/>
          <w:sz w:val="18"/>
        </w:rPr>
        <w:t>Pune Plant</w:t>
      </w:r>
    </w:p>
    <w:p>
      <w:pPr>
        <w:shd w:val="clear" w:color="auto" w:fill="F4F4F4"/>
        <w:spacing w:before="0" w:after="0" w:line="240" w:lineRule="auto"/>
        <w:ind w:left="216" w:right="216"/>
        <w:jc w:val="left"/>
      </w:pPr>
      <w:r>
        <w:rPr>
          <w:rFonts w:ascii="Consolas" w:hAnsi="Consolas"/>
          <w:color w:val="202020"/>
          <w:sz w:val="18"/>
        </w:rPr>
        <w:t>→ Engine Production Line</w:t>
      </w:r>
    </w:p>
    <w:p>
      <w:pPr>
        <w:shd w:val="clear" w:color="auto" w:fill="F4F4F4"/>
        <w:spacing w:before="0" w:after="0" w:line="240" w:lineRule="auto"/>
        <w:ind w:left="216" w:right="216"/>
        <w:jc w:val="left"/>
      </w:pPr>
      <w:r>
        <w:rPr>
          <w:rFonts w:ascii="Consolas" w:hAnsi="Consolas"/>
          <w:color w:val="202020"/>
          <w:sz w:val="18"/>
        </w:rPr>
        <w:t>→ Engine Test Bench 03</w:t>
      </w:r>
    </w:p>
    <w:p>
      <w:pPr>
        <w:shd w:val="clear" w:color="auto" w:fill="F4F4F4"/>
        <w:spacing w:before="0" w:after="0" w:line="240" w:lineRule="auto"/>
        <w:ind w:left="216" w:right="216"/>
        <w:jc w:val="left"/>
      </w:pPr>
      <w:r>
        <w:rPr>
          <w:rFonts w:ascii="Consolas" w:hAnsi="Consolas"/>
          <w:color w:val="202020"/>
          <w:sz w:val="18"/>
        </w:rPr>
        <w:t>→ Control System</w:t>
      </w:r>
    </w:p>
    <w:p>
      <w:pPr>
        <w:shd w:val="clear" w:color="auto" w:fill="F4F4F4"/>
        <w:spacing w:before="0" w:after="0" w:line="240" w:lineRule="auto"/>
        <w:ind w:left="216" w:right="216"/>
        <w:jc w:val="left"/>
      </w:pPr>
      <w:r>
        <w:rPr>
          <w:rFonts w:ascii="Consolas" w:hAnsi="Consolas"/>
          <w:color w:val="202020"/>
          <w:sz w:val="18"/>
        </w:rPr>
        <w:t>→ PLC</w:t>
      </w:r>
    </w:p>
    <w:p>
      <w:pPr>
        <w:shd w:val="clear" w:color="auto" w:fill="F4F4F4"/>
        <w:spacing w:before="0" w:after="0" w:line="240" w:lineRule="auto"/>
        <w:ind w:left="216" w:right="216"/>
        <w:jc w:val="left"/>
      </w:pPr>
      <w:r>
        <w:rPr>
          <w:rFonts w:ascii="Consolas" w:hAnsi="Consolas"/>
          <w:color w:val="202020"/>
          <w:sz w:val="18"/>
        </w:rPr>
        <w:t>→ CPU and I/O modules</w:t>
      </w:r>
    </w:p>
    <w:p/>
    <w:p>
      <w:r>
        <w:t>Another branch may contain:</w:t>
      </w:r>
    </w:p>
    <w:p>
      <w:pPr>
        <w:shd w:val="clear" w:color="auto" w:fill="F4F4F4"/>
        <w:spacing w:before="0" w:after="0" w:line="240" w:lineRule="auto"/>
        <w:ind w:left="216" w:right="216"/>
        <w:jc w:val="left"/>
      </w:pPr>
      <w:r>
        <w:rPr>
          <w:rFonts w:ascii="Consolas" w:hAnsi="Consolas"/>
          <w:color w:val="202020"/>
          <w:sz w:val="18"/>
        </w:rPr>
        <w:t>Engine Test Bench 03</w:t>
      </w:r>
    </w:p>
    <w:p>
      <w:pPr>
        <w:shd w:val="clear" w:color="auto" w:fill="F4F4F4"/>
        <w:spacing w:before="0" w:after="0" w:line="240" w:lineRule="auto"/>
        <w:ind w:left="216" w:right="216"/>
        <w:jc w:val="left"/>
      </w:pPr>
      <w:r>
        <w:rPr>
          <w:rFonts w:ascii="Consolas" w:hAnsi="Consolas"/>
          <w:color w:val="202020"/>
          <w:sz w:val="18"/>
        </w:rPr>
        <w:t>→ Measurement System</w:t>
      </w:r>
    </w:p>
    <w:p>
      <w:pPr>
        <w:shd w:val="clear" w:color="auto" w:fill="F4F4F4"/>
        <w:spacing w:before="0" w:after="0" w:line="240" w:lineRule="auto"/>
        <w:ind w:left="216" w:right="216"/>
        <w:jc w:val="left"/>
      </w:pPr>
      <w:r>
        <w:rPr>
          <w:rFonts w:ascii="Consolas" w:hAnsi="Consolas"/>
          <w:color w:val="202020"/>
          <w:sz w:val="18"/>
        </w:rPr>
        <w:t>→ Pressure Measurement</w:t>
      </w:r>
    </w:p>
    <w:p>
      <w:pPr>
        <w:shd w:val="clear" w:color="auto" w:fill="F4F4F4"/>
        <w:spacing w:before="0" w:after="0" w:line="240" w:lineRule="auto"/>
        <w:ind w:left="216" w:right="216"/>
        <w:jc w:val="left"/>
      </w:pPr>
      <w:r>
        <w:rPr>
          <w:rFonts w:ascii="Consolas" w:hAnsi="Consolas"/>
          <w:color w:val="202020"/>
          <w:sz w:val="18"/>
        </w:rPr>
        <w:t>→ Pressure Transducer</w:t>
      </w:r>
    </w:p>
    <w:p/>
    <w:p>
      <w:r>
        <w:t>The hierarchy should reflect functional and maintenance relationships, not simply the order in which devices appear in a cabinet.</w:t>
      </w:r>
    </w:p>
    <w:p>
      <w:r>
        <w:t>A component may also have a separate asset record in SAP or another maintenance system. The knowledge base should link to that record instead of creating conflicting identifiers.</w:t>
      </w:r>
    </w:p>
    <w:p>
      <w:pPr>
        <w:pStyle w:val="Heading3"/>
      </w:pPr>
      <w:r>
        <w:t>9.1 Define machine boundaries</w:t>
      </w:r>
    </w:p>
    <w:p>
      <w:r>
        <w:t>Machine boundaries determine which equipment belongs to the machine and which belongs to shared plant infrastructure.</w:t>
      </w:r>
    </w:p>
    <w:p>
      <w:r>
        <w:t>For example, an Ethernet switch dedicated to one CNC machine may be a machine subsystem. A shared cell switch serving six machines may belong to the cell or network infrastructure hierarchy.</w:t>
      </w:r>
    </w:p>
    <w:p>
      <w:r>
        <w:t>Record shared equipment and dependencies explicitly. Otherwise, a single shared switch fault may be incorrectly recorded against six separate machines, distorting failure history.</w:t>
      </w:r>
    </w:p>
    <w:p>
      <w:pPr>
        <w:pStyle w:val="Heading2"/>
      </w:pPr>
      <w:r>
        <w:t>10. Location Management and Machine Relocation</w:t>
      </w:r>
    </w:p>
    <w:p>
      <w:r>
        <w:t>A machine's physical location can change during layout modification, production balancing, refurbishment, or relocation.</w:t>
      </w:r>
    </w:p>
    <w:p>
      <w:r>
        <w:t>The overview should distinguish between:</w:t>
      </w:r>
    </w:p>
    <w:p>
      <w:pPr>
        <w:pStyle w:val="ListBullet"/>
      </w:pPr>
      <w:r>
        <w:t>Current location: Where the machine is installed now.</w:t>
      </w:r>
    </w:p>
    <w:p>
      <w:pPr>
        <w:pStyle w:val="ListBullet"/>
      </w:pPr>
      <w:r>
        <w:t>Previous location: Where it was installed historically.</w:t>
      </w:r>
    </w:p>
    <w:p>
      <w:pPr>
        <w:pStyle w:val="ListBullet"/>
      </w:pPr>
      <w:r>
        <w:t>Installation or relocation date: When the location changed.</w:t>
      </w:r>
    </w:p>
    <w:p>
      <w:pPr>
        <w:pStyle w:val="ListBullet"/>
      </w:pPr>
      <w:r>
        <w:t>Responsible department: The group accountable for the equipment.</w:t>
      </w:r>
    </w:p>
    <w:p>
      <w:pPr>
        <w:pStyle w:val="ListBullet"/>
      </w:pPr>
      <w:r>
        <w:t>Network or utility dependencies: Connections that may need modification after relocation.</w:t>
      </w:r>
    </w:p>
    <w:p>
      <w:r>
        <w:t>When a machine moves, update the location through the approved asset-management process. Preserve its machine ID and historical maintenance records unless the plant's asset-governance rules require a formal identity change.</w:t>
      </w:r>
    </w:p>
    <w:p>
      <w:r>
        <w:t>A relocation may also require updates to:</w:t>
      </w:r>
    </w:p>
    <w:p>
      <w:pPr>
        <w:pStyle w:val="ListBullet"/>
      </w:pPr>
      <w:r>
        <w:t>Electrical drawings and power distribution records.</w:t>
      </w:r>
    </w:p>
    <w:p>
      <w:pPr>
        <w:pStyle w:val="ListBullet"/>
      </w:pPr>
      <w:r>
        <w:t>Pneumatic and hydraulic layouts.</w:t>
      </w:r>
    </w:p>
    <w:p>
      <w:pPr>
        <w:pStyle w:val="ListBullet"/>
      </w:pPr>
      <w:r>
        <w:t>Industrial network topology and IP address records.</w:t>
      </w:r>
    </w:p>
    <w:p>
      <w:pPr>
        <w:pStyle w:val="ListBullet"/>
      </w:pPr>
      <w:r>
        <w:t>PLC, CNC, robot, and HMI documentation.</w:t>
      </w:r>
    </w:p>
    <w:p>
      <w:pPr>
        <w:pStyle w:val="ListBullet"/>
      </w:pPr>
      <w:r>
        <w:t>Safety assessments and emergency-stop arrangements.</w:t>
      </w:r>
    </w:p>
    <w:p>
      <w:pPr>
        <w:pStyle w:val="ListBullet"/>
      </w:pPr>
      <w:r>
        <w:t>Preventive maintenance plans.</w:t>
      </w:r>
    </w:p>
    <w:p>
      <w:pPr>
        <w:pStyle w:val="ListBullet"/>
      </w:pPr>
      <w:r>
        <w:t>Spare-parts and installed-component records.</w:t>
      </w:r>
    </w:p>
    <w:p>
      <w:r>
        <w:t>A location update in one spreadsheet does not relocate the machine's documentation, wiring, network configuration, or safety obligations.</w:t>
      </w:r>
    </w:p>
    <w:p>
      <w:pPr>
        <w:pStyle w:val="Heading2"/>
      </w:pPr>
      <w:r>
        <w:t>11. Data Quality and Record Governance</w:t>
      </w:r>
    </w:p>
    <w:p>
      <w:pPr>
        <w:pStyle w:val="Heading3"/>
      </w:pPr>
      <w:r>
        <w:t>11.1 Required data-quality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Rule</w:t>
            </w:r>
          </w:p>
        </w:tc>
        <w:tc>
          <w:tcPr>
            <w:tcW w:type="dxa" w:w="5400"/>
            <w:shd w:val="clear" w:color="auto" w:fill="EEF2F7"/>
          </w:tcPr>
          <w:p>
            <w:pPr>
              <w:spacing w:after="0" w:before="0" w:line="240" w:lineRule="auto"/>
              <w:jc w:val="left"/>
            </w:pPr>
            <w:r>
              <w:rPr>
                <w:b/>
                <w:color w:val="1A2E4A"/>
              </w:rPr>
              <w:t>Requirement</w:t>
            </w:r>
          </w:p>
        </w:tc>
      </w:tr>
      <w:tr>
        <w:tc>
          <w:tcPr>
            <w:tcW w:type="dxa" w:w="5400"/>
          </w:tcPr>
          <w:p>
            <w:pPr>
              <w:spacing w:after="0" w:before="0" w:line="240" w:lineRule="auto"/>
              <w:jc w:val="left"/>
            </w:pPr>
            <w:r>
              <w:t>Uniqueness</w:t>
            </w:r>
          </w:p>
        </w:tc>
        <w:tc>
          <w:tcPr>
            <w:tcW w:type="dxa" w:w="5400"/>
          </w:tcPr>
          <w:p>
            <w:pPr>
              <w:spacing w:after="0" w:before="0" w:line="240" w:lineRule="auto"/>
              <w:jc w:val="left"/>
            </w:pPr>
            <w:r>
              <w:t>Every machine has one stable internal identifier</w:t>
            </w:r>
          </w:p>
        </w:tc>
      </w:tr>
      <w:tr>
        <w:tc>
          <w:tcPr>
            <w:tcW w:type="dxa" w:w="5400"/>
          </w:tcPr>
          <w:p>
            <w:pPr>
              <w:spacing w:after="0" w:before="0" w:line="240" w:lineRule="auto"/>
              <w:jc w:val="left"/>
            </w:pPr>
            <w:r>
              <w:t>Accuracy</w:t>
            </w:r>
          </w:p>
        </w:tc>
        <w:tc>
          <w:tcPr>
            <w:tcW w:type="dxa" w:w="5400"/>
          </w:tcPr>
          <w:p>
            <w:pPr>
              <w:spacing w:after="0" w:before="0" w:line="240" w:lineRule="auto"/>
              <w:jc w:val="left"/>
            </w:pPr>
            <w:r>
              <w:t>Values match verified physical or controlled records</w:t>
            </w:r>
          </w:p>
        </w:tc>
      </w:tr>
      <w:tr>
        <w:tc>
          <w:tcPr>
            <w:tcW w:type="dxa" w:w="5400"/>
          </w:tcPr>
          <w:p>
            <w:pPr>
              <w:spacing w:after="0" w:before="0" w:line="240" w:lineRule="auto"/>
              <w:jc w:val="left"/>
            </w:pPr>
            <w:r>
              <w:t>Completeness</w:t>
            </w:r>
          </w:p>
        </w:tc>
        <w:tc>
          <w:tcPr>
            <w:tcW w:type="dxa" w:w="5400"/>
          </w:tcPr>
          <w:p>
            <w:pPr>
              <w:spacing w:after="0" w:before="0" w:line="240" w:lineRule="auto"/>
              <w:jc w:val="left"/>
            </w:pPr>
            <w:r>
              <w:t>Required fields are populated or explicitly marked pending</w:t>
            </w:r>
          </w:p>
        </w:tc>
      </w:tr>
      <w:tr>
        <w:tc>
          <w:tcPr>
            <w:tcW w:type="dxa" w:w="5400"/>
          </w:tcPr>
          <w:p>
            <w:pPr>
              <w:spacing w:after="0" w:before="0" w:line="240" w:lineRule="auto"/>
              <w:jc w:val="left"/>
            </w:pPr>
            <w:r>
              <w:t>Consistency</w:t>
            </w:r>
          </w:p>
        </w:tc>
        <w:tc>
          <w:tcPr>
            <w:tcW w:type="dxa" w:w="5400"/>
          </w:tcPr>
          <w:p>
            <w:pPr>
              <w:spacing w:after="0" w:before="0" w:line="240" w:lineRule="auto"/>
              <w:jc w:val="left"/>
            </w:pPr>
            <w:r>
              <w:t>Names and identifiers agree across relevant systems</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Important changes have an owner, date, and reason</w:t>
            </w:r>
          </w:p>
        </w:tc>
      </w:tr>
      <w:tr>
        <w:tc>
          <w:tcPr>
            <w:tcW w:type="dxa" w:w="5400"/>
          </w:tcPr>
          <w:p>
            <w:pPr>
              <w:spacing w:after="0" w:before="0" w:line="240" w:lineRule="auto"/>
              <w:jc w:val="left"/>
            </w:pPr>
            <w:r>
              <w:t>Controlled vocabulary</w:t>
            </w:r>
          </w:p>
        </w:tc>
        <w:tc>
          <w:tcPr>
            <w:tcW w:type="dxa" w:w="5400"/>
          </w:tcPr>
          <w:p>
            <w:pPr>
              <w:spacing w:after="0" w:before="0" w:line="240" w:lineRule="auto"/>
              <w:jc w:val="left"/>
            </w:pPr>
            <w:r>
              <w:t>Machine categories, departments, and statuses use approved values</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The record can be updated without rebuilding the knowledge base</w:t>
            </w:r>
          </w:p>
        </w:tc>
      </w:tr>
      <w:tr>
        <w:tc>
          <w:tcPr>
            <w:tcW w:type="dxa" w:w="5400"/>
          </w:tcPr>
          <w:p>
            <w:pPr>
              <w:spacing w:after="0" w:before="0" w:line="240" w:lineRule="auto"/>
              <w:jc w:val="left"/>
            </w:pPr>
            <w:r>
              <w:t>Ownership</w:t>
            </w:r>
          </w:p>
        </w:tc>
        <w:tc>
          <w:tcPr>
            <w:tcW w:type="dxa" w:w="5400"/>
          </w:tcPr>
          <w:p>
            <w:pPr>
              <w:spacing w:after="0" w:before="0" w:line="240" w:lineRule="auto"/>
              <w:jc w:val="left"/>
            </w:pPr>
            <w:r>
              <w:t>A defined role is responsible for record quality</w:t>
            </w:r>
          </w:p>
        </w:tc>
      </w:tr>
    </w:tbl>
    <w:p/>
    <w:p>
      <w:pPr>
        <w:pStyle w:val="Heading3"/>
      </w:pPr>
      <w:r>
        <w:t>11.2 Recommended record statuses</w:t>
      </w:r>
    </w:p>
    <w:p>
      <w:pPr>
        <w:pStyle w:val="ListBullet"/>
      </w:pPr>
      <w:r>
        <w:rPr>
          <w:rFonts w:ascii="Consolas" w:hAnsi="Consolas"/>
          <w:color w:val="333333"/>
          <w:sz w:val="19"/>
          <w:shd w:val="clear" w:color="auto" w:fill="EFEFEF"/>
        </w:rPr>
        <w:t>Draft</w:t>
      </w:r>
      <w:r>
        <w:t>: Initial entry created but not verified.</w:t>
      </w:r>
    </w:p>
    <w:p>
      <w:pPr>
        <w:pStyle w:val="ListBullet"/>
      </w:pPr>
      <w:r>
        <w:rPr>
          <w:rFonts w:ascii="Consolas" w:hAnsi="Consolas"/>
          <w:color w:val="333333"/>
          <w:sz w:val="19"/>
          <w:shd w:val="clear" w:color="auto" w:fill="EFEFEF"/>
        </w:rPr>
        <w:t>Pending Verification</w:t>
      </w:r>
      <w:r>
        <w:t>: One or more important fields remain unconfirmed.</w:t>
      </w:r>
    </w:p>
    <w:p>
      <w:pPr>
        <w:pStyle w:val="ListBullet"/>
      </w:pPr>
      <w:r>
        <w:rPr>
          <w:rFonts w:ascii="Consolas" w:hAnsi="Consolas"/>
          <w:color w:val="333333"/>
          <w:sz w:val="19"/>
          <w:shd w:val="clear" w:color="auto" w:fill="EFEFEF"/>
        </w:rPr>
        <w:t>Verified</w:t>
      </w:r>
      <w:r>
        <w:t>: Required identity fields have been checked.</w:t>
      </w:r>
    </w:p>
    <w:p>
      <w:pPr>
        <w:pStyle w:val="ListBullet"/>
      </w:pPr>
      <w:r>
        <w:rPr>
          <w:rFonts w:ascii="Consolas" w:hAnsi="Consolas"/>
          <w:color w:val="333333"/>
          <w:sz w:val="19"/>
          <w:shd w:val="clear" w:color="auto" w:fill="EFEFEF"/>
        </w:rPr>
        <w:t>Under Modification</w:t>
      </w:r>
      <w:r>
        <w:t>: The machine or its identity-related documentation is undergoing an approved change.</w:t>
      </w:r>
    </w:p>
    <w:p>
      <w:pPr>
        <w:pStyle w:val="ListBullet"/>
      </w:pPr>
      <w:r>
        <w:rPr>
          <w:rFonts w:ascii="Consolas" w:hAnsi="Consolas"/>
          <w:color w:val="333333"/>
          <w:sz w:val="19"/>
          <w:shd w:val="clear" w:color="auto" w:fill="EFEFEF"/>
        </w:rPr>
        <w:t>Decommissioned</w:t>
      </w:r>
      <w:r>
        <w:t>: The machine is no longer in service, with historical records retained.</w:t>
      </w:r>
    </w:p>
    <w:p>
      <w:r>
        <w:t>A machine being temporarily stopped does not automatically mean it is decommissioned.</w:t>
      </w:r>
    </w:p>
    <w:p>
      <w:pPr>
        <w:pStyle w:val="Heading3"/>
      </w:pPr>
      <w:r>
        <w:t>11.3 Change control</w:t>
      </w:r>
    </w:p>
    <w:p>
      <w:r>
        <w:t>Update the overview when a significant event affects the machine's identity or registered status, including:</w:t>
      </w:r>
    </w:p>
    <w:p>
      <w:pPr>
        <w:pStyle w:val="ListBullet"/>
      </w:pPr>
      <w:r>
        <w:t>New machine installation.</w:t>
      </w:r>
    </w:p>
    <w:p>
      <w:pPr>
        <w:pStyle w:val="ListBullet"/>
      </w:pPr>
      <w:r>
        <w:t>Formal machine renaming.</w:t>
      </w:r>
    </w:p>
    <w:p>
      <w:pPr>
        <w:pStyle w:val="ListBullet"/>
      </w:pPr>
      <w:r>
        <w:t>Relocation to another line or production area.</w:t>
      </w:r>
    </w:p>
    <w:p>
      <w:pPr>
        <w:pStyle w:val="ListBullet"/>
      </w:pPr>
      <w:r>
        <w:t>OEM refurbishment or major machine rebuild.</w:t>
      </w:r>
    </w:p>
    <w:p>
      <w:pPr>
        <w:pStyle w:val="ListBullet"/>
      </w:pPr>
      <w:r>
        <w:t>Asset-register correction.</w:t>
      </w:r>
    </w:p>
    <w:p>
      <w:pPr>
        <w:pStyle w:val="ListBullet"/>
      </w:pPr>
      <w:r>
        <w:t>Change of accountable department.</w:t>
      </w:r>
    </w:p>
    <w:p>
      <w:pPr>
        <w:pStyle w:val="ListBullet"/>
      </w:pPr>
      <w:r>
        <w:t>Decommissioning or disposal.</w:t>
      </w:r>
    </w:p>
    <w:p>
      <w:r>
        <w:t>Maintain a change history containing the date, previous value, new value, reason, and responsible person or role, according to the plant's record-control requirements.</w:t>
      </w:r>
    </w:p>
    <w:p>
      <w:pPr>
        <w:pStyle w:val="Heading2"/>
      </w:pPr>
      <w:r>
        <w:t>12. Integration with Maintenance Systems</w:t>
      </w:r>
    </w:p>
    <w:p>
      <w:r>
        <w:t>The machine overview acts as the common identity record connecting different technical and business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w:t>
            </w:r>
          </w:p>
        </w:tc>
        <w:tc>
          <w:tcPr>
            <w:tcW w:type="dxa" w:w="5400"/>
            <w:shd w:val="clear" w:color="auto" w:fill="EEF2F7"/>
          </w:tcPr>
          <w:p>
            <w:pPr>
              <w:spacing w:after="0" w:before="0" w:line="240" w:lineRule="auto"/>
              <w:jc w:val="left"/>
            </w:pPr>
            <w:r>
              <w:rPr>
                <w:b/>
                <w:color w:val="1A2E4A"/>
              </w:rPr>
              <w:t>Relationship to machine overview</w:t>
            </w:r>
          </w:p>
        </w:tc>
      </w:tr>
      <w:tr>
        <w:tc>
          <w:tcPr>
            <w:tcW w:type="dxa" w:w="5400"/>
          </w:tcPr>
          <w:p>
            <w:pPr>
              <w:spacing w:after="0" w:before="0" w:line="240" w:lineRule="auto"/>
              <w:jc w:val="left"/>
            </w:pPr>
            <w:r>
              <w:t>SAP PM</w:t>
            </w:r>
          </w:p>
        </w:tc>
        <w:tc>
          <w:tcPr>
            <w:tcW w:type="dxa" w:w="5400"/>
          </w:tcPr>
          <w:p>
            <w:pPr>
              <w:spacing w:after="0" w:before="0" w:line="240" w:lineRule="auto"/>
              <w:jc w:val="left"/>
            </w:pPr>
            <w:r>
              <w:t>Equipment master, functional location, maintenance plans, notifications, work orders</w:t>
            </w:r>
          </w:p>
        </w:tc>
      </w:tr>
      <w:tr>
        <w:tc>
          <w:tcPr>
            <w:tcW w:type="dxa" w:w="5400"/>
          </w:tcPr>
          <w:p>
            <w:pPr>
              <w:spacing w:after="0" w:before="0" w:line="240" w:lineRule="auto"/>
              <w:jc w:val="left"/>
            </w:pPr>
            <w:r>
              <w:t>Spare-parts register</w:t>
            </w:r>
          </w:p>
        </w:tc>
        <w:tc>
          <w:tcPr>
            <w:tcW w:type="dxa" w:w="5400"/>
          </w:tcPr>
          <w:p>
            <w:pPr>
              <w:spacing w:after="0" w:before="0" w:line="240" w:lineRule="auto"/>
              <w:jc w:val="left"/>
            </w:pPr>
            <w:r>
              <w:t>Components and spare parts applicable to the machine</w:t>
            </w:r>
          </w:p>
        </w:tc>
      </w:tr>
      <w:tr>
        <w:tc>
          <w:tcPr>
            <w:tcW w:type="dxa" w:w="5400"/>
          </w:tcPr>
          <w:p>
            <w:pPr>
              <w:spacing w:after="0" w:before="0" w:line="240" w:lineRule="auto"/>
              <w:jc w:val="left"/>
            </w:pPr>
            <w:r>
              <w:t>PLC/CNC/robot records</w:t>
            </w:r>
          </w:p>
        </w:tc>
        <w:tc>
          <w:tcPr>
            <w:tcW w:type="dxa" w:w="5400"/>
          </w:tcPr>
          <w:p>
            <w:pPr>
              <w:spacing w:after="0" w:before="0" w:line="240" w:lineRule="auto"/>
              <w:jc w:val="left"/>
            </w:pPr>
            <w:r>
              <w:t>Installed controller details, programs, versions, and backups</w:t>
            </w:r>
          </w:p>
        </w:tc>
      </w:tr>
      <w:tr>
        <w:tc>
          <w:tcPr>
            <w:tcW w:type="dxa" w:w="5400"/>
          </w:tcPr>
          <w:p>
            <w:pPr>
              <w:spacing w:after="0" w:before="0" w:line="240" w:lineRule="auto"/>
              <w:jc w:val="left"/>
            </w:pPr>
            <w:r>
              <w:t>Network documentation</w:t>
            </w:r>
          </w:p>
        </w:tc>
        <w:tc>
          <w:tcPr>
            <w:tcW w:type="dxa" w:w="5400"/>
          </w:tcPr>
          <w:p>
            <w:pPr>
              <w:spacing w:after="0" w:before="0" w:line="240" w:lineRule="auto"/>
              <w:jc w:val="left"/>
            </w:pPr>
            <w:r>
              <w:t>Switches, IP addresses, communication links, and topology</w:t>
            </w:r>
          </w:p>
        </w:tc>
      </w:tr>
      <w:tr>
        <w:tc>
          <w:tcPr>
            <w:tcW w:type="dxa" w:w="5400"/>
          </w:tcPr>
          <w:p>
            <w:pPr>
              <w:spacing w:after="0" w:before="0" w:line="240" w:lineRule="auto"/>
              <w:jc w:val="left"/>
            </w:pPr>
            <w:r>
              <w:t>Preventive maintenance system</w:t>
            </w:r>
          </w:p>
        </w:tc>
        <w:tc>
          <w:tcPr>
            <w:tcW w:type="dxa" w:w="5400"/>
          </w:tcPr>
          <w:p>
            <w:pPr>
              <w:spacing w:after="0" w:before="0" w:line="240" w:lineRule="auto"/>
              <w:jc w:val="left"/>
            </w:pPr>
            <w:r>
              <w:t>Scheduled inspection and maintenance tasks</w:t>
            </w:r>
          </w:p>
        </w:tc>
      </w:tr>
      <w:tr>
        <w:tc>
          <w:tcPr>
            <w:tcW w:type="dxa" w:w="5400"/>
          </w:tcPr>
          <w:p>
            <w:pPr>
              <w:spacing w:after="0" w:before="0" w:line="240" w:lineRule="auto"/>
              <w:jc w:val="left"/>
            </w:pPr>
            <w:r>
              <w:t>Breakdown database</w:t>
            </w:r>
          </w:p>
        </w:tc>
        <w:tc>
          <w:tcPr>
            <w:tcW w:type="dxa" w:w="5400"/>
          </w:tcPr>
          <w:p>
            <w:pPr>
              <w:spacing w:after="0" w:before="0" w:line="240" w:lineRule="auto"/>
              <w:jc w:val="left"/>
            </w:pPr>
            <w:r>
              <w:t>Failure history linked to the correct machine ID</w:t>
            </w:r>
          </w:p>
        </w:tc>
      </w:tr>
      <w:tr>
        <w:tc>
          <w:tcPr>
            <w:tcW w:type="dxa" w:w="5400"/>
          </w:tcPr>
          <w:p>
            <w:pPr>
              <w:spacing w:after="0" w:before="0" w:line="240" w:lineRule="auto"/>
              <w:jc w:val="left"/>
            </w:pPr>
            <w:r>
              <w:t>Power BI</w:t>
            </w:r>
          </w:p>
        </w:tc>
        <w:tc>
          <w:tcPr>
            <w:tcW w:type="dxa" w:w="5400"/>
          </w:tcPr>
          <w:p>
            <w:pPr>
              <w:spacing w:after="0" w:before="0" w:line="240" w:lineRule="auto"/>
              <w:jc w:val="left"/>
            </w:pPr>
            <w:r>
              <w:t>Machine-level maintenance and reliability analysis</w:t>
            </w:r>
          </w:p>
        </w:tc>
      </w:tr>
      <w:tr>
        <w:tc>
          <w:tcPr>
            <w:tcW w:type="dxa" w:w="5400"/>
          </w:tcPr>
          <w:p>
            <w:pPr>
              <w:spacing w:after="0" w:before="0" w:line="240" w:lineRule="auto"/>
              <w:jc w:val="left"/>
            </w:pPr>
            <w:r>
              <w:t>Power Automate</w:t>
            </w:r>
          </w:p>
        </w:tc>
        <w:tc>
          <w:tcPr>
            <w:tcW w:type="dxa" w:w="5400"/>
          </w:tcPr>
          <w:p>
            <w:pPr>
              <w:spacing w:after="0" w:before="0" w:line="240" w:lineRule="auto"/>
              <w:jc w:val="left"/>
            </w:pPr>
            <w:r>
              <w:t>Controlled record-update notifications and approval workflows</w:t>
            </w:r>
          </w:p>
        </w:tc>
      </w:tr>
      <w:tr>
        <w:tc>
          <w:tcPr>
            <w:tcW w:type="dxa" w:w="5400"/>
          </w:tcPr>
          <w:p>
            <w:pPr>
              <w:spacing w:after="0" w:before="0" w:line="240" w:lineRule="auto"/>
              <w:jc w:val="left"/>
            </w:pPr>
            <w:r>
              <w:t>Technical document repository</w:t>
            </w:r>
          </w:p>
        </w:tc>
        <w:tc>
          <w:tcPr>
            <w:tcW w:type="dxa" w:w="5400"/>
          </w:tcPr>
          <w:p>
            <w:pPr>
              <w:spacing w:after="0" w:before="0" w:line="240" w:lineRule="auto"/>
              <w:jc w:val="left"/>
            </w:pPr>
            <w:r>
              <w:t>Drawings, manuals, backup files, and approved procedures</w:t>
            </w:r>
          </w:p>
        </w:tc>
      </w:tr>
    </w:tbl>
    <w:p/>
    <w:p>
      <w:r>
        <w:t>Use a stable Machine ID as the primary cross-reference where practical. SAP equipment numbers, functional locations, OEM serial numbers, and production station codes can be stored as associated identifiers.</w:t>
      </w:r>
    </w:p>
    <w:p>
      <w:pPr>
        <w:pStyle w:val="Heading3"/>
      </w:pPr>
      <w:r>
        <w:t>12.1 Example Power BI use</w:t>
      </w:r>
    </w:p>
    <w:p>
      <w:r>
        <w:t xml:space="preserve">Suppose breakdown records contain </w:t>
      </w:r>
      <w:r>
        <w:rPr>
          <w:rFonts w:ascii="Consolas" w:hAnsi="Consolas"/>
          <w:color w:val="333333"/>
          <w:sz w:val="19"/>
          <w:shd w:val="clear" w:color="auto" w:fill="EFEFEF"/>
        </w:rPr>
        <w:t>Machine_ID</w:t>
      </w:r>
      <w:r>
        <w:t xml:space="preserve">, </w:t>
      </w:r>
      <w:r>
        <w:rPr>
          <w:rFonts w:ascii="Consolas" w:hAnsi="Consolas"/>
          <w:color w:val="333333"/>
          <w:sz w:val="19"/>
          <w:shd w:val="clear" w:color="auto" w:fill="EFEFEF"/>
        </w:rPr>
        <w:t>Failure_Date</w:t>
      </w:r>
      <w:r>
        <w:t xml:space="preserve">, </w:t>
      </w:r>
      <w:r>
        <w:rPr>
          <w:rFonts w:ascii="Consolas" w:hAnsi="Consolas"/>
          <w:color w:val="333333"/>
          <w:sz w:val="19"/>
          <w:shd w:val="clear" w:color="auto" w:fill="EFEFEF"/>
        </w:rPr>
        <w:t>Failure_Category</w:t>
      </w:r>
      <w:r>
        <w:t xml:space="preserve">, and </w:t>
      </w:r>
      <w:r>
        <w:rPr>
          <w:rFonts w:ascii="Consolas" w:hAnsi="Consolas"/>
          <w:color w:val="333333"/>
          <w:sz w:val="19"/>
          <w:shd w:val="clear" w:color="auto" w:fill="EFEFEF"/>
        </w:rPr>
        <w:t>Downtime_Minutes</w:t>
      </w:r>
      <w:r>
        <w:t>.</w:t>
      </w:r>
    </w:p>
    <w:p>
      <w:r>
        <w:t>The machine overview can supply the machine name, make, location, and category for analysis.</w:t>
      </w:r>
    </w:p>
    <w:p>
      <w:r>
        <w:t>This supports questions such as:</w:t>
      </w:r>
    </w:p>
    <w:p>
      <w:pPr>
        <w:pStyle w:val="ListBullet"/>
      </w:pPr>
      <w:r>
        <w:t>Which machines have the highest downtime?</w:t>
      </w:r>
    </w:p>
    <w:p>
      <w:pPr>
        <w:pStyle w:val="ListBullet"/>
      </w:pPr>
      <w:r>
        <w:t>Which OEM machine types generate the most repeated failures?</w:t>
      </w:r>
    </w:p>
    <w:p>
      <w:pPr>
        <w:pStyle w:val="ListBullet"/>
      </w:pPr>
      <w:r>
        <w:t>Which production areas have the largest maintenance burden?</w:t>
      </w:r>
    </w:p>
    <w:p>
      <w:pPr>
        <w:pStyle w:val="ListBullet"/>
      </w:pPr>
      <w:r>
        <w:t>Which machines have incomplete technical documentation?</w:t>
      </w:r>
    </w:p>
    <w:p>
      <w:pPr>
        <w:pStyle w:val="ListBullet"/>
      </w:pPr>
      <w:r>
        <w:t>Which machines are affected by obsolete components?</w:t>
      </w:r>
    </w:p>
    <w:p>
      <w:r>
        <w:t>The data model must use consistent identifiers. Matching records only by free-text machine names can create duplicate or missing relationships.</w:t>
      </w:r>
    </w:p>
    <w:p>
      <w:pPr>
        <w:pStyle w:val="Heading2"/>
      </w:pPr>
      <w:r>
        <w:t>13. Practical Machine Overview Template</w:t>
      </w:r>
    </w:p>
    <w:p>
      <w:r>
        <w:t>The following template can be used as the first page of an individual machine knowledge-base record.</w:t>
      </w:r>
    </w:p>
    <w:p>
      <w:pPr>
        <w:pStyle w:val="Heading3"/>
      </w:pPr>
      <w:r>
        <w:t>A. Basic identity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Machine ID</w:t>
            </w:r>
          </w:p>
        </w:tc>
        <w:tc>
          <w:tcPr>
            <w:tcW w:type="dxa" w:w="5400"/>
          </w:tcPr>
          <w:p>
            <w:pPr>
              <w:spacing w:after="0" w:before="0" w:line="240" w:lineRule="auto"/>
              <w:jc w:val="left"/>
            </w:pPr>
          </w:p>
        </w:tc>
      </w:tr>
      <w:tr>
        <w:tc>
          <w:tcPr>
            <w:tcW w:type="dxa" w:w="5400"/>
          </w:tcPr>
          <w:p>
            <w:pPr>
              <w:spacing w:after="0" w:before="0" w:line="240" w:lineRule="auto"/>
              <w:jc w:val="left"/>
            </w:pPr>
            <w:r>
              <w:t>Machine name</w:t>
            </w:r>
          </w:p>
        </w:tc>
        <w:tc>
          <w:tcPr>
            <w:tcW w:type="dxa" w:w="5400"/>
          </w:tcPr>
          <w:p>
            <w:pPr>
              <w:spacing w:after="0" w:before="0" w:line="240" w:lineRule="auto"/>
              <w:jc w:val="left"/>
            </w:pPr>
          </w:p>
        </w:tc>
      </w:tr>
      <w:tr>
        <w:tc>
          <w:tcPr>
            <w:tcW w:type="dxa" w:w="5400"/>
          </w:tcPr>
          <w:p>
            <w:pPr>
              <w:spacing w:after="0" w:before="0" w:line="240" w:lineRule="auto"/>
              <w:jc w:val="left"/>
            </w:pPr>
            <w:r>
              <w:t>Make/OEM</w:t>
            </w:r>
          </w:p>
        </w:tc>
        <w:tc>
          <w:tcPr>
            <w:tcW w:type="dxa" w:w="5400"/>
          </w:tcPr>
          <w:p>
            <w:pPr>
              <w:spacing w:after="0" w:before="0" w:line="240" w:lineRule="auto"/>
              <w:jc w:val="left"/>
            </w:pPr>
          </w:p>
        </w:tc>
      </w:tr>
      <w:tr>
        <w:tc>
          <w:tcPr>
            <w:tcW w:type="dxa" w:w="5400"/>
          </w:tcPr>
          <w:p>
            <w:pPr>
              <w:spacing w:after="0" w:before="0" w:line="240" w:lineRule="auto"/>
              <w:jc w:val="left"/>
            </w:pPr>
            <w:r>
              <w:t>Model</w:t>
            </w:r>
          </w:p>
        </w:tc>
        <w:tc>
          <w:tcPr>
            <w:tcW w:type="dxa" w:w="5400"/>
          </w:tcPr>
          <w:p>
            <w:pPr>
              <w:spacing w:after="0" w:before="0" w:line="240" w:lineRule="auto"/>
              <w:jc w:val="left"/>
            </w:pPr>
          </w:p>
        </w:tc>
      </w:tr>
      <w:tr>
        <w:tc>
          <w:tcPr>
            <w:tcW w:type="dxa" w:w="5400"/>
          </w:tcPr>
          <w:p>
            <w:pPr>
              <w:spacing w:after="0" w:before="0" w:line="240" w:lineRule="auto"/>
              <w:jc w:val="left"/>
            </w:pPr>
            <w:r>
              <w:t>Serial number</w:t>
            </w:r>
          </w:p>
        </w:tc>
        <w:tc>
          <w:tcPr>
            <w:tcW w:type="dxa" w:w="5400"/>
          </w:tcPr>
          <w:p>
            <w:pPr>
              <w:spacing w:after="0" w:before="0" w:line="240" w:lineRule="auto"/>
              <w:jc w:val="left"/>
            </w:pPr>
          </w:p>
        </w:tc>
      </w:tr>
      <w:tr>
        <w:tc>
          <w:tcPr>
            <w:tcW w:type="dxa" w:w="5400"/>
          </w:tcPr>
          <w:p>
            <w:pPr>
              <w:spacing w:after="0" w:before="0" w:line="240" w:lineRule="auto"/>
              <w:jc w:val="left"/>
            </w:pPr>
            <w:r>
              <w:t>SAP equipment number</w:t>
            </w:r>
          </w:p>
        </w:tc>
        <w:tc>
          <w:tcPr>
            <w:tcW w:type="dxa" w:w="5400"/>
          </w:tcPr>
          <w:p>
            <w:pPr>
              <w:spacing w:after="0" w:before="0" w:line="240" w:lineRule="auto"/>
              <w:jc w:val="left"/>
            </w:pPr>
          </w:p>
        </w:tc>
      </w:tr>
      <w:tr>
        <w:tc>
          <w:tcPr>
            <w:tcW w:type="dxa" w:w="5400"/>
          </w:tcPr>
          <w:p>
            <w:pPr>
              <w:spacing w:after="0" w:before="0" w:line="240" w:lineRule="auto"/>
              <w:jc w:val="left"/>
            </w:pPr>
            <w:r>
              <w:t>Machine category</w:t>
            </w:r>
          </w:p>
        </w:tc>
        <w:tc>
          <w:tcPr>
            <w:tcW w:type="dxa" w:w="5400"/>
          </w:tcPr>
          <w:p>
            <w:pPr>
              <w:spacing w:after="0" w:before="0" w:line="240" w:lineRule="auto"/>
              <w:jc w:val="left"/>
            </w:pPr>
          </w:p>
        </w:tc>
      </w:tr>
      <w:tr>
        <w:tc>
          <w:tcPr>
            <w:tcW w:type="dxa" w:w="5400"/>
          </w:tcPr>
          <w:p>
            <w:pPr>
              <w:spacing w:after="0" w:before="0" w:line="240" w:lineRule="auto"/>
              <w:jc w:val="left"/>
            </w:pPr>
            <w:r>
              <w:t>Purpose</w:t>
            </w:r>
          </w:p>
        </w:tc>
        <w:tc>
          <w:tcPr>
            <w:tcW w:type="dxa" w:w="5400"/>
          </w:tcPr>
          <w:p>
            <w:pPr>
              <w:spacing w:after="0" w:before="0" w:line="240" w:lineRule="auto"/>
              <w:jc w:val="left"/>
            </w:pPr>
          </w:p>
        </w:tc>
      </w:tr>
      <w:tr>
        <w:tc>
          <w:tcPr>
            <w:tcW w:type="dxa" w:w="5400"/>
          </w:tcPr>
          <w:p>
            <w:pPr>
              <w:spacing w:after="0" w:before="0" w:line="240" w:lineRule="auto"/>
              <w:jc w:val="left"/>
            </w:pPr>
            <w:r>
              <w:t>Current location</w:t>
            </w:r>
          </w:p>
        </w:tc>
        <w:tc>
          <w:tcPr>
            <w:tcW w:type="dxa" w:w="5400"/>
          </w:tcPr>
          <w:p>
            <w:pPr>
              <w:spacing w:after="0" w:before="0" w:line="240" w:lineRule="auto"/>
              <w:jc w:val="left"/>
            </w:pPr>
          </w:p>
        </w:tc>
      </w:tr>
      <w:tr>
        <w:tc>
          <w:tcPr>
            <w:tcW w:type="dxa" w:w="5400"/>
          </w:tcPr>
          <w:p>
            <w:pPr>
              <w:spacing w:after="0" w:before="0" w:line="240" w:lineRule="auto"/>
              <w:jc w:val="left"/>
            </w:pPr>
            <w:r>
              <w:t>Production line or station</w:t>
            </w:r>
          </w:p>
        </w:tc>
        <w:tc>
          <w:tcPr>
            <w:tcW w:type="dxa" w:w="5400"/>
          </w:tcPr>
          <w:p>
            <w:pPr>
              <w:spacing w:after="0" w:before="0" w:line="240" w:lineRule="auto"/>
              <w:jc w:val="left"/>
            </w:pPr>
          </w:p>
        </w:tc>
      </w:tr>
    </w:tbl>
    <w:p/>
    <w:p>
      <w:pPr>
        <w:pStyle w:val="Heading3"/>
      </w:pPr>
      <w:r>
        <w:t>B. Ownership and lifecycle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Responsible department</w:t>
            </w:r>
          </w:p>
        </w:tc>
        <w:tc>
          <w:tcPr>
            <w:tcW w:type="dxa" w:w="5400"/>
          </w:tcPr>
          <w:p>
            <w:pPr>
              <w:spacing w:after="0" w:before="0" w:line="240" w:lineRule="auto"/>
              <w:jc w:val="left"/>
            </w:pPr>
          </w:p>
        </w:tc>
      </w:tr>
      <w:tr>
        <w:tc>
          <w:tcPr>
            <w:tcW w:type="dxa" w:w="5400"/>
          </w:tcPr>
          <w:p>
            <w:pPr>
              <w:spacing w:after="0" w:before="0" w:line="240" w:lineRule="auto"/>
              <w:jc w:val="left"/>
            </w:pPr>
            <w:r>
              <w:t>Record owner</w:t>
            </w:r>
          </w:p>
        </w:tc>
        <w:tc>
          <w:tcPr>
            <w:tcW w:type="dxa" w:w="5400"/>
          </w:tcPr>
          <w:p>
            <w:pPr>
              <w:spacing w:after="0" w:before="0" w:line="240" w:lineRule="auto"/>
              <w:jc w:val="left"/>
            </w:pPr>
          </w:p>
        </w:tc>
      </w:tr>
      <w:tr>
        <w:tc>
          <w:tcPr>
            <w:tcW w:type="dxa" w:w="5400"/>
          </w:tcPr>
          <w:p>
            <w:pPr>
              <w:spacing w:after="0" w:before="0" w:line="240" w:lineRule="auto"/>
              <w:jc w:val="left"/>
            </w:pPr>
            <w:r>
              <w:t>Installation date</w:t>
            </w:r>
          </w:p>
        </w:tc>
        <w:tc>
          <w:tcPr>
            <w:tcW w:type="dxa" w:w="5400"/>
          </w:tcPr>
          <w:p>
            <w:pPr>
              <w:spacing w:after="0" w:before="0" w:line="240" w:lineRule="auto"/>
              <w:jc w:val="left"/>
            </w:pPr>
          </w:p>
        </w:tc>
      </w:tr>
      <w:tr>
        <w:tc>
          <w:tcPr>
            <w:tcW w:type="dxa" w:w="5400"/>
          </w:tcPr>
          <w:p>
            <w:pPr>
              <w:spacing w:after="0" w:before="0" w:line="240" w:lineRule="auto"/>
              <w:jc w:val="left"/>
            </w:pPr>
            <w:r>
              <w:t>Commissioning date</w:t>
            </w:r>
          </w:p>
        </w:tc>
        <w:tc>
          <w:tcPr>
            <w:tcW w:type="dxa" w:w="5400"/>
          </w:tcPr>
          <w:p>
            <w:pPr>
              <w:spacing w:after="0" w:before="0" w:line="240" w:lineRule="auto"/>
              <w:jc w:val="left"/>
            </w:pPr>
          </w:p>
        </w:tc>
      </w:tr>
      <w:tr>
        <w:tc>
          <w:tcPr>
            <w:tcW w:type="dxa" w:w="5400"/>
          </w:tcPr>
          <w:p>
            <w:pPr>
              <w:spacing w:after="0" w:before="0" w:line="240" w:lineRule="auto"/>
              <w:jc w:val="left"/>
            </w:pPr>
            <w:r>
              <w:t>Lifecycle status</w:t>
            </w:r>
          </w:p>
        </w:tc>
        <w:tc>
          <w:tcPr>
            <w:tcW w:type="dxa" w:w="5400"/>
          </w:tcPr>
          <w:p>
            <w:pPr>
              <w:spacing w:after="0" w:before="0" w:line="240" w:lineRule="auto"/>
              <w:jc w:val="left"/>
            </w:pPr>
          </w:p>
        </w:tc>
      </w:tr>
      <w:tr>
        <w:tc>
          <w:tcPr>
            <w:tcW w:type="dxa" w:w="5400"/>
          </w:tcPr>
          <w:p>
            <w:pPr>
              <w:spacing w:after="0" w:before="0" w:line="240" w:lineRule="auto"/>
              <w:jc w:val="left"/>
            </w:pPr>
            <w:r>
              <w:t>Last verification date</w:t>
            </w:r>
          </w:p>
        </w:tc>
        <w:tc>
          <w:tcPr>
            <w:tcW w:type="dxa" w:w="5400"/>
          </w:tcPr>
          <w:p>
            <w:pPr>
              <w:spacing w:after="0" w:before="0" w:line="240" w:lineRule="auto"/>
              <w:jc w:val="left"/>
            </w:pPr>
          </w:p>
        </w:tc>
      </w:tr>
      <w:tr>
        <w:tc>
          <w:tcPr>
            <w:tcW w:type="dxa" w:w="5400"/>
          </w:tcPr>
          <w:p>
            <w:pPr>
              <w:spacing w:after="0" w:before="0" w:line="240" w:lineRule="auto"/>
              <w:jc w:val="left"/>
            </w:pPr>
            <w:r>
              <w:t>Last updated by</w:t>
            </w:r>
          </w:p>
        </w:tc>
        <w:tc>
          <w:tcPr>
            <w:tcW w:type="dxa" w:w="5400"/>
          </w:tcPr>
          <w:p>
            <w:pPr>
              <w:spacing w:after="0" w:before="0" w:line="240" w:lineRule="auto"/>
              <w:jc w:val="left"/>
            </w:pPr>
          </w:p>
        </w:tc>
      </w:tr>
      <w:tr>
        <w:tc>
          <w:tcPr>
            <w:tcW w:type="dxa" w:w="5400"/>
          </w:tcPr>
          <w:p>
            <w:pPr>
              <w:spacing w:after="0" w:before="0" w:line="240" w:lineRule="auto"/>
              <w:jc w:val="left"/>
            </w:pPr>
            <w:r>
              <w:t>Next review date</w:t>
            </w:r>
          </w:p>
        </w:tc>
        <w:tc>
          <w:tcPr>
            <w:tcW w:type="dxa" w:w="5400"/>
          </w:tcPr>
          <w:p>
            <w:pPr>
              <w:spacing w:after="0" w:before="0" w:line="240" w:lineRule="auto"/>
              <w:jc w:val="left"/>
            </w:pPr>
          </w:p>
        </w:tc>
      </w:tr>
    </w:tbl>
    <w:p/>
    <w:p>
      <w:pPr>
        <w:pStyle w:val="Heading3"/>
      </w:pPr>
      <w:r>
        <w:t>C. Documentation and relationships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OEM manual location</w:t>
            </w:r>
          </w:p>
        </w:tc>
        <w:tc>
          <w:tcPr>
            <w:tcW w:type="dxa" w:w="5400"/>
          </w:tcPr>
          <w:p>
            <w:pPr>
              <w:spacing w:after="0" w:before="0" w:line="240" w:lineRule="auto"/>
              <w:jc w:val="left"/>
            </w:pPr>
          </w:p>
        </w:tc>
      </w:tr>
      <w:tr>
        <w:tc>
          <w:tcPr>
            <w:tcW w:type="dxa" w:w="5400"/>
          </w:tcPr>
          <w:p>
            <w:pPr>
              <w:spacing w:after="0" w:before="0" w:line="240" w:lineRule="auto"/>
              <w:jc w:val="left"/>
            </w:pPr>
            <w:r>
              <w:t>Electrical drawing location</w:t>
            </w:r>
          </w:p>
        </w:tc>
        <w:tc>
          <w:tcPr>
            <w:tcW w:type="dxa" w:w="5400"/>
          </w:tcPr>
          <w:p>
            <w:pPr>
              <w:spacing w:after="0" w:before="0" w:line="240" w:lineRule="auto"/>
              <w:jc w:val="left"/>
            </w:pPr>
          </w:p>
        </w:tc>
      </w:tr>
      <w:tr>
        <w:tc>
          <w:tcPr>
            <w:tcW w:type="dxa" w:w="5400"/>
          </w:tcPr>
          <w:p>
            <w:pPr>
              <w:spacing w:after="0" w:before="0" w:line="240" w:lineRule="auto"/>
              <w:jc w:val="left"/>
            </w:pPr>
            <w:r>
              <w:t>Mechanical drawing location</w:t>
            </w:r>
          </w:p>
        </w:tc>
        <w:tc>
          <w:tcPr>
            <w:tcW w:type="dxa" w:w="5400"/>
          </w:tcPr>
          <w:p>
            <w:pPr>
              <w:spacing w:after="0" w:before="0" w:line="240" w:lineRule="auto"/>
              <w:jc w:val="left"/>
            </w:pPr>
          </w:p>
        </w:tc>
      </w:tr>
      <w:tr>
        <w:tc>
          <w:tcPr>
            <w:tcW w:type="dxa" w:w="5400"/>
          </w:tcPr>
          <w:p>
            <w:pPr>
              <w:spacing w:after="0" w:before="0" w:line="240" w:lineRule="auto"/>
              <w:jc w:val="left"/>
            </w:pPr>
            <w:r>
              <w:t>Control-system documentation</w:t>
            </w:r>
          </w:p>
        </w:tc>
        <w:tc>
          <w:tcPr>
            <w:tcW w:type="dxa" w:w="5400"/>
          </w:tcPr>
          <w:p>
            <w:pPr>
              <w:spacing w:after="0" w:before="0" w:line="240" w:lineRule="auto"/>
              <w:jc w:val="left"/>
            </w:pPr>
          </w:p>
        </w:tc>
      </w:tr>
      <w:tr>
        <w:tc>
          <w:tcPr>
            <w:tcW w:type="dxa" w:w="5400"/>
          </w:tcPr>
          <w:p>
            <w:pPr>
              <w:spacing w:after="0" w:before="0" w:line="240" w:lineRule="auto"/>
              <w:jc w:val="left"/>
            </w:pPr>
            <w:r>
              <w:t>Network documentation</w:t>
            </w:r>
          </w:p>
        </w:tc>
        <w:tc>
          <w:tcPr>
            <w:tcW w:type="dxa" w:w="5400"/>
          </w:tcPr>
          <w:p>
            <w:pPr>
              <w:spacing w:after="0" w:before="0" w:line="240" w:lineRule="auto"/>
              <w:jc w:val="left"/>
            </w:pPr>
          </w:p>
        </w:tc>
      </w:tr>
      <w:tr>
        <w:tc>
          <w:tcPr>
            <w:tcW w:type="dxa" w:w="5400"/>
          </w:tcPr>
          <w:p>
            <w:pPr>
              <w:spacing w:after="0" w:before="0" w:line="240" w:lineRule="auto"/>
              <w:jc w:val="left"/>
            </w:pPr>
            <w:r>
              <w:t>Spare-parts record</w:t>
            </w:r>
          </w:p>
        </w:tc>
        <w:tc>
          <w:tcPr>
            <w:tcW w:type="dxa" w:w="5400"/>
          </w:tcPr>
          <w:p>
            <w:pPr>
              <w:spacing w:after="0" w:before="0" w:line="240" w:lineRule="auto"/>
              <w:jc w:val="left"/>
            </w:pPr>
          </w:p>
        </w:tc>
      </w:tr>
      <w:tr>
        <w:tc>
          <w:tcPr>
            <w:tcW w:type="dxa" w:w="5400"/>
          </w:tcPr>
          <w:p>
            <w:pPr>
              <w:spacing w:after="0" w:before="0" w:line="240" w:lineRule="auto"/>
              <w:jc w:val="left"/>
            </w:pPr>
            <w:r>
              <w:t>Preventive maintenance plan</w:t>
            </w:r>
          </w:p>
        </w:tc>
        <w:tc>
          <w:tcPr>
            <w:tcW w:type="dxa" w:w="5400"/>
          </w:tcPr>
          <w:p>
            <w:pPr>
              <w:spacing w:after="0" w:before="0" w:line="240" w:lineRule="auto"/>
              <w:jc w:val="left"/>
            </w:pPr>
          </w:p>
        </w:tc>
      </w:tr>
      <w:tr>
        <w:tc>
          <w:tcPr>
            <w:tcW w:type="dxa" w:w="5400"/>
          </w:tcPr>
          <w:p>
            <w:pPr>
              <w:spacing w:after="0" w:before="0" w:line="240" w:lineRule="auto"/>
              <w:jc w:val="left"/>
            </w:pPr>
            <w:r>
              <w:t>Related subsystem records</w:t>
            </w:r>
          </w:p>
        </w:tc>
        <w:tc>
          <w:tcPr>
            <w:tcW w:type="dxa" w:w="5400"/>
          </w:tcPr>
          <w:p>
            <w:pPr>
              <w:spacing w:after="0" w:before="0" w:line="240" w:lineRule="auto"/>
              <w:jc w:val="left"/>
            </w:pPr>
          </w:p>
        </w:tc>
      </w:tr>
    </w:tbl>
    <w:p/>
    <w:p>
      <w:r>
        <w:t xml:space="preserve">Leave a field blank only when the template explicitly permits it. For required fields, use the approved status such as </w:t>
      </w:r>
      <w:r>
        <w:rPr>
          <w:rFonts w:ascii="Consolas" w:hAnsi="Consolas"/>
          <w:color w:val="333333"/>
          <w:sz w:val="19"/>
          <w:shd w:val="clear" w:color="auto" w:fill="EFEFEF"/>
        </w:rPr>
        <w:t>Pending Verification</w:t>
      </w:r>
      <w:r>
        <w:t xml:space="preserve">, </w:t>
      </w:r>
      <w:r>
        <w:rPr>
          <w:rFonts w:ascii="Consolas" w:hAnsi="Consolas"/>
          <w:color w:val="333333"/>
          <w:sz w:val="19"/>
          <w:shd w:val="clear" w:color="auto" w:fill="EFEFEF"/>
        </w:rPr>
        <w:t>Not Applicable</w:t>
      </w:r>
      <w:r>
        <w:t xml:space="preserve">, or </w:t>
      </w:r>
      <w:r>
        <w:rPr>
          <w:rFonts w:ascii="Consolas" w:hAnsi="Consolas"/>
          <w:color w:val="333333"/>
          <w:sz w:val="19"/>
          <w:shd w:val="clear" w:color="auto" w:fill="EFEFEF"/>
        </w:rPr>
        <w:t>Unknown</w:t>
      </w:r>
      <w:r>
        <w:t>, with a distinction between those meanings.</w:t>
      </w:r>
    </w:p>
    <w:p>
      <w:pPr>
        <w:pStyle w:val="Heading2"/>
      </w:pPr>
      <w:r>
        <w:t>14. Common Errors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Two machines share the same internal ID</w:t>
            </w:r>
          </w:p>
        </w:tc>
        <w:tc>
          <w:tcPr>
            <w:tcW w:type="dxa" w:w="3600"/>
          </w:tcPr>
          <w:p>
            <w:pPr>
              <w:spacing w:after="0" w:before="0" w:line="240" w:lineRule="auto"/>
              <w:jc w:val="left"/>
            </w:pPr>
            <w:r>
              <w:t>Maintenance records can be assigned to the wrong asset</w:t>
            </w:r>
          </w:p>
        </w:tc>
        <w:tc>
          <w:tcPr>
            <w:tcW w:type="dxa" w:w="3600"/>
          </w:tcPr>
          <w:p>
            <w:pPr>
              <w:spacing w:after="0" w:before="0" w:line="240" w:lineRule="auto"/>
              <w:jc w:val="left"/>
            </w:pPr>
            <w:r>
              <w:t>Enforce ID uniqueness</w:t>
            </w:r>
          </w:p>
        </w:tc>
      </w:tr>
      <w:tr>
        <w:tc>
          <w:tcPr>
            <w:tcW w:type="dxa" w:w="3600"/>
          </w:tcPr>
          <w:p>
            <w:pPr>
              <w:spacing w:after="0" w:before="0" w:line="240" w:lineRule="auto"/>
              <w:jc w:val="left"/>
            </w:pPr>
            <w:r>
              <w:t>PLC manufacturer entered as machine make</w:t>
            </w:r>
          </w:p>
        </w:tc>
        <w:tc>
          <w:tcPr>
            <w:tcW w:type="dxa" w:w="3600"/>
          </w:tcPr>
          <w:p>
            <w:pPr>
              <w:spacing w:after="0" w:before="0" w:line="240" w:lineRule="auto"/>
              <w:jc w:val="left"/>
            </w:pPr>
            <w:r>
              <w:t>OEM identity and machine-level reporting become misleading</w:t>
            </w:r>
          </w:p>
        </w:tc>
        <w:tc>
          <w:tcPr>
            <w:tcW w:type="dxa" w:w="3600"/>
          </w:tcPr>
          <w:p>
            <w:pPr>
              <w:spacing w:after="0" w:before="0" w:line="240" w:lineRule="auto"/>
              <w:jc w:val="left"/>
            </w:pPr>
            <w:r>
              <w:t>Record machine OEM and component manufacturers separately</w:t>
            </w:r>
          </w:p>
        </w:tc>
      </w:tr>
      <w:tr>
        <w:tc>
          <w:tcPr>
            <w:tcW w:type="dxa" w:w="3600"/>
          </w:tcPr>
          <w:p>
            <w:pPr>
              <w:spacing w:after="0" w:before="0" w:line="240" w:lineRule="auto"/>
              <w:jc w:val="left"/>
            </w:pPr>
            <w:r>
              <w:t>Machine purpose is too vague</w:t>
            </w:r>
          </w:p>
        </w:tc>
        <w:tc>
          <w:tcPr>
            <w:tcW w:type="dxa" w:w="3600"/>
          </w:tcPr>
          <w:p>
            <w:pPr>
              <w:spacing w:after="0" w:before="0" w:line="240" w:lineRule="auto"/>
              <w:jc w:val="left"/>
            </w:pPr>
            <w:r>
              <w:t>Difficult to understand the production function</w:t>
            </w:r>
          </w:p>
        </w:tc>
        <w:tc>
          <w:tcPr>
            <w:tcW w:type="dxa" w:w="3600"/>
          </w:tcPr>
          <w:p>
            <w:pPr>
              <w:spacing w:after="0" w:before="0" w:line="240" w:lineRule="auto"/>
              <w:jc w:val="left"/>
            </w:pPr>
            <w:r>
              <w:t>Describe the actual operation and expected result</w:t>
            </w:r>
          </w:p>
        </w:tc>
      </w:tr>
      <w:tr>
        <w:tc>
          <w:tcPr>
            <w:tcW w:type="dxa" w:w="3600"/>
          </w:tcPr>
          <w:p>
            <w:pPr>
              <w:spacing w:after="0" w:before="0" w:line="240" w:lineRule="auto"/>
              <w:jc w:val="left"/>
            </w:pPr>
            <w:r>
              <w:t>Location contains only a nickname</w:t>
            </w:r>
          </w:p>
        </w:tc>
        <w:tc>
          <w:tcPr>
            <w:tcW w:type="dxa" w:w="3600"/>
          </w:tcPr>
          <w:p>
            <w:pPr>
              <w:spacing w:after="0" w:before="0" w:line="240" w:lineRule="auto"/>
              <w:jc w:val="left"/>
            </w:pPr>
            <w:r>
              <w:t>Technicians may struggle to find the equipment</w:t>
            </w:r>
          </w:p>
        </w:tc>
        <w:tc>
          <w:tcPr>
            <w:tcW w:type="dxa" w:w="3600"/>
          </w:tcPr>
          <w:p>
            <w:pPr>
              <w:spacing w:after="0" w:before="0" w:line="240" w:lineRule="auto"/>
              <w:jc w:val="left"/>
            </w:pPr>
            <w:r>
              <w:t>Use the official plant hierarchy</w:t>
            </w:r>
          </w:p>
        </w:tc>
      </w:tr>
      <w:tr>
        <w:tc>
          <w:tcPr>
            <w:tcW w:type="dxa" w:w="3600"/>
          </w:tcPr>
          <w:p>
            <w:pPr>
              <w:spacing w:after="0" w:before="0" w:line="240" w:lineRule="auto"/>
              <w:jc w:val="left"/>
            </w:pPr>
            <w:r>
              <w:t>Serial number is guessed</w:t>
            </w:r>
          </w:p>
        </w:tc>
        <w:tc>
          <w:tcPr>
            <w:tcW w:type="dxa" w:w="3600"/>
          </w:tcPr>
          <w:p>
            <w:pPr>
              <w:spacing w:after="0" w:before="0" w:line="240" w:lineRule="auto"/>
              <w:jc w:val="left"/>
            </w:pPr>
            <w:r>
              <w:t>Traceability and OEM support may fail</w:t>
            </w:r>
          </w:p>
        </w:tc>
        <w:tc>
          <w:tcPr>
            <w:tcW w:type="dxa" w:w="3600"/>
          </w:tcPr>
          <w:p>
            <w:pPr>
              <w:spacing w:after="0" w:before="0" w:line="240" w:lineRule="auto"/>
              <w:jc w:val="left"/>
            </w:pPr>
            <w:r>
              <w:t>Verify against the nameplate or controlled records</w:t>
            </w:r>
          </w:p>
        </w:tc>
      </w:tr>
      <w:tr>
        <w:tc>
          <w:tcPr>
            <w:tcW w:type="dxa" w:w="3600"/>
          </w:tcPr>
          <w:p>
            <w:pPr>
              <w:spacing w:after="0" w:before="0" w:line="240" w:lineRule="auto"/>
              <w:jc w:val="left"/>
            </w:pPr>
            <w:r>
              <w:t>Machine ID changes after relocation</w:t>
            </w:r>
          </w:p>
        </w:tc>
        <w:tc>
          <w:tcPr>
            <w:tcW w:type="dxa" w:w="3600"/>
          </w:tcPr>
          <w:p>
            <w:pPr>
              <w:spacing w:after="0" w:before="0" w:line="240" w:lineRule="auto"/>
              <w:jc w:val="left"/>
            </w:pPr>
            <w:r>
              <w:t>Historical records may become disconnected</w:t>
            </w:r>
          </w:p>
        </w:tc>
        <w:tc>
          <w:tcPr>
            <w:tcW w:type="dxa" w:w="3600"/>
          </w:tcPr>
          <w:p>
            <w:pPr>
              <w:spacing w:after="0" w:before="0" w:line="240" w:lineRule="auto"/>
              <w:jc w:val="left"/>
            </w:pPr>
            <w:r>
              <w:t>Preserve the ID and update location history</w:t>
            </w:r>
          </w:p>
        </w:tc>
      </w:tr>
      <w:tr>
        <w:tc>
          <w:tcPr>
            <w:tcW w:type="dxa" w:w="3600"/>
          </w:tcPr>
          <w:p>
            <w:pPr>
              <w:spacing w:after="0" w:before="0" w:line="240" w:lineRule="auto"/>
              <w:jc w:val="left"/>
            </w:pPr>
            <w:r>
              <w:t>Shared infrastructure assigned to every machine</w:t>
            </w:r>
          </w:p>
        </w:tc>
        <w:tc>
          <w:tcPr>
            <w:tcW w:type="dxa" w:w="3600"/>
          </w:tcPr>
          <w:p>
            <w:pPr>
              <w:spacing w:after="0" w:before="0" w:line="240" w:lineRule="auto"/>
              <w:jc w:val="left"/>
            </w:pPr>
            <w:r>
              <w:t>Reliability reports become misleading</w:t>
            </w:r>
          </w:p>
        </w:tc>
        <w:tc>
          <w:tcPr>
            <w:tcW w:type="dxa" w:w="3600"/>
          </w:tcPr>
          <w:p>
            <w:pPr>
              <w:spacing w:after="0" w:before="0" w:line="240" w:lineRule="auto"/>
              <w:jc w:val="left"/>
            </w:pPr>
            <w:r>
              <w:t>Define asset boundaries and shared dependencies</w:t>
            </w:r>
          </w:p>
        </w:tc>
      </w:tr>
      <w:tr>
        <w:tc>
          <w:tcPr>
            <w:tcW w:type="dxa" w:w="3600"/>
          </w:tcPr>
          <w:p>
            <w:pPr>
              <w:spacing w:after="0" w:before="0" w:line="240" w:lineRule="auto"/>
              <w:jc w:val="left"/>
            </w:pPr>
            <w:r>
              <w:t>Documentation links are outdated</w:t>
            </w:r>
          </w:p>
        </w:tc>
        <w:tc>
          <w:tcPr>
            <w:tcW w:type="dxa" w:w="3600"/>
          </w:tcPr>
          <w:p>
            <w:pPr>
              <w:spacing w:after="0" w:before="0" w:line="240" w:lineRule="auto"/>
              <w:jc w:val="left"/>
            </w:pPr>
            <w:r>
              <w:t>Troubleshooting and recovery are delayed</w:t>
            </w:r>
          </w:p>
        </w:tc>
        <w:tc>
          <w:tcPr>
            <w:tcW w:type="dxa" w:w="3600"/>
          </w:tcPr>
          <w:p>
            <w:pPr>
              <w:spacing w:after="0" w:before="0" w:line="240" w:lineRule="auto"/>
              <w:jc w:val="left"/>
            </w:pPr>
            <w:r>
              <w:t>Maintain controlled repository links</w:t>
            </w:r>
          </w:p>
        </w:tc>
      </w:tr>
      <w:tr>
        <w:tc>
          <w:tcPr>
            <w:tcW w:type="dxa" w:w="3600"/>
          </w:tcPr>
          <w:p>
            <w:pPr>
              <w:spacing w:after="0" w:before="0" w:line="240" w:lineRule="auto"/>
              <w:jc w:val="left"/>
            </w:pPr>
            <w:r>
              <w:t>No owner is assigned</w:t>
            </w:r>
          </w:p>
        </w:tc>
        <w:tc>
          <w:tcPr>
            <w:tcW w:type="dxa" w:w="3600"/>
          </w:tcPr>
          <w:p>
            <w:pPr>
              <w:spacing w:after="0" w:before="0" w:line="240" w:lineRule="auto"/>
              <w:jc w:val="left"/>
            </w:pPr>
            <w:r>
              <w:t>Records gradually become inaccurate</w:t>
            </w:r>
          </w:p>
        </w:tc>
        <w:tc>
          <w:tcPr>
            <w:tcW w:type="dxa" w:w="3600"/>
          </w:tcPr>
          <w:p>
            <w:pPr>
              <w:spacing w:after="0" w:before="0" w:line="240" w:lineRule="auto"/>
              <w:jc w:val="left"/>
            </w:pPr>
            <w:r>
              <w:t>Assign responsibility for updates and reviews</w:t>
            </w:r>
          </w:p>
        </w:tc>
      </w:tr>
    </w:tbl>
    <w:p/>
    <w:p>
      <w:pPr>
        <w:pStyle w:val="Heading2"/>
      </w:pPr>
      <w:r>
        <w:t>15. Knowledge Check and Interview Questions</w:t>
      </w:r>
    </w:p>
    <w:p>
      <w:r>
        <w:t>1\. What is the difference between a machine name and a Machine ID?</w:t>
      </w:r>
    </w:p>
    <w:p>
      <w:r>
        <w:t>The machine name is a readable description. The Machine ID is a stable internal identifier used to link records reliably.</w:t>
      </w:r>
    </w:p>
    <w:p>
      <w:r>
        <w:t>2\. Is the machine make always the same as the PLC make?</w:t>
      </w:r>
    </w:p>
    <w:p>
      <w:r>
        <w:t>No. The machine OEM may integrate controllers and other components from several manufacturers.</w:t>
      </w:r>
    </w:p>
    <w:p>
      <w:r>
        <w:t>3\. Why should a machine have both a Machine ID and an SAP equipment number?</w:t>
      </w:r>
    </w:p>
    <w:p>
      <w:r>
        <w:t>The Machine ID can serve as the knowledge base's stable reference, while the SAP equipment number identifies the corresponding equipment record in SAP. The relationship should be maintained explicitly.</w:t>
      </w:r>
    </w:p>
    <w:p>
      <w:r>
        <w:t>4\. What is the difference between a machine and a subsystem?</w:t>
      </w:r>
    </w:p>
    <w:p>
      <w:r>
        <w:t>A machine performs the overall production or testing function. A subsystem performs a defined part of that function, such as clamping, measurement, motion control, or communication.</w:t>
      </w:r>
    </w:p>
    <w:p>
      <w:r>
        <w:t>5\. What should happen when a machine is relocated?</w:t>
      </w:r>
    </w:p>
    <w:p>
      <w:r>
        <w:t>Update its current location, preserve the historical record, and review associated drawings, maintenance plans, utility connections, safety documentation, and network records.</w:t>
      </w:r>
    </w:p>
    <w:p>
      <w:r>
        <w:t>6\. How should an unknown manufacturer or serial number be recorded?</w:t>
      </w:r>
    </w:p>
    <w:p>
      <w:r>
        <w:t>Mark it as unknown or pending verification according to the data standard, then investigate using the nameplate, OEM documents, or approved asset records. Do not infer it from unrelated components.</w:t>
      </w:r>
    </w:p>
    <w:p>
      <w:r>
        <w:t>7\. Why does machine identity matter for reliability analysis?</w:t>
      </w:r>
    </w:p>
    <w:p>
      <w:r>
        <w:t>It enables breakdowns, downtime, maintenance costs, spare consumption, and repeated failures to be attributed to the correct asset.</w:t>
      </w:r>
    </w:p>
    <w:p>
      <w:r>
        <w:t>8\. Why should the knowledge base not use machine names as its only database key?</w:t>
      </w:r>
    </w:p>
    <w:p>
      <w:r>
        <w:t>Names can change, contain spelling variations, or be duplicated. A stable unique identifier is more reliable for connecting records.</w:t>
      </w:r>
    </w:p>
    <w:p>
      <w:r>
        <w:t>9\. What is the purpose of defining machine boundaries?</w:t>
      </w:r>
    </w:p>
    <w:p>
      <w:r>
        <w:t>It establishes which equipment belongs to the machine and which is shared infrastructure, preventing incorrect asset ownership and misleading maintenance statistics.</w:t>
      </w:r>
    </w:p>
    <w:p>
      <w:r>
        <w:t>10\. What is the minimum goal of a good machine overview?</w:t>
      </w:r>
    </w:p>
    <w:p>
      <w:r>
        <w:t>A technician or engineer should be able to identify the exact equipment, understand its intended function, locate it physically, and find its related maintenance and technical records without relying on informal knowledge.</w:t>
      </w:r>
    </w:p>
    <w:p>
      <w:pPr>
        <w:pStyle w:val="Heading2"/>
      </w:pPr>
      <w:r>
        <w:t>16. Final Verification Checklist</w:t>
      </w:r>
    </w:p>
    <w:p>
      <w:pPr>
        <w:pStyle w:val="ListBullet"/>
      </w:pPr>
      <w:r>
        <w:t>A unique Machine ID exists.</w:t>
      </w:r>
    </w:p>
    <w:p>
      <w:pPr>
        <w:pStyle w:val="ListBullet"/>
      </w:pPr>
      <w:r>
        <w:t>The machine name follows the approved naming convention.</w:t>
      </w:r>
    </w:p>
    <w:p>
      <w:pPr>
        <w:pStyle w:val="ListBullet"/>
      </w:pPr>
      <w:r>
        <w:t>Machine make and model have been verified.</w:t>
      </w:r>
    </w:p>
    <w:p>
      <w:pPr>
        <w:pStyle w:val="ListBullet"/>
      </w:pPr>
      <w:r>
        <w:t>Serial number and SAP equipment number are correctly associated.</w:t>
      </w:r>
    </w:p>
    <w:p>
      <w:pPr>
        <w:pStyle w:val="ListBullet"/>
      </w:pPr>
      <w:r>
        <w:t>Machine purpose describes its actual function.</w:t>
      </w:r>
    </w:p>
    <w:p>
      <w:pPr>
        <w:pStyle w:val="ListBullet"/>
      </w:pPr>
      <w:r>
        <w:t>Location follows the official plant hierarchy.</w:t>
      </w:r>
    </w:p>
    <w:p>
      <w:pPr>
        <w:pStyle w:val="ListBullet"/>
      </w:pPr>
      <w:r>
        <w:t>Machine boundaries and shared infrastructure are clear.</w:t>
      </w:r>
    </w:p>
    <w:p>
      <w:pPr>
        <w:pStyle w:val="ListBullet"/>
      </w:pPr>
      <w:r>
        <w:t>Responsible department and record owner are assigned.</w:t>
      </w:r>
    </w:p>
    <w:p>
      <w:pPr>
        <w:pStyle w:val="ListBullet"/>
      </w:pPr>
      <w:r>
        <w:t>Related drawings, manuals, and maintenance records are linked.</w:t>
      </w:r>
    </w:p>
    <w:p>
      <w:pPr>
        <w:pStyle w:val="ListBullet"/>
      </w:pPr>
      <w:r>
        <w:t>Unknown information is marked honestly rather than guessed.</w:t>
      </w:r>
    </w:p>
    <w:p>
      <w:pPr>
        <w:pStyle w:val="ListBullet"/>
      </w:pPr>
      <w:r>
        <w:t>Lifecycle status and verification date are recorded.</w:t>
      </w:r>
    </w:p>
    <w:p>
      <w:pPr>
        <w:pStyle w:val="ListBullet"/>
      </w:pPr>
      <w:r>
        <w:t>The overview is ready to serve as the parent record for process, subsystem, component, and maintenance documentation.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02_PLAN_WISE_2026\02_INDUSTRY3_0\28_Machine_KB\01_Template\01_Overview\02_Process - Process: Steps the machine performs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Machine: Name, Make, Purpose, Location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