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BIW Traceability Systems</w:t>
      </w:r>
    </w:p>
    <w:p>
      <w:r>
        <w:t xml:space="preserve">Study path: </w:t>
      </w:r>
      <w:r>
        <w:rPr>
          <w:rFonts w:ascii="Consolas" w:hAnsi="Consolas"/>
          <w:color w:val="333333"/>
          <w:sz w:val="19"/>
          <w:shd w:val="clear" w:color="auto" w:fill="EFEFEF"/>
        </w:rPr>
        <w:t>02_PLAN_WISE_2026\02_INDUSTRY3_0\29_Line_Systems\01_BIW\11_Traceability - Traceability</w:t>
      </w:r>
    </w:p>
    <w:p>
      <w:pPr>
        <w:pStyle w:val="Heading2"/>
      </w:pPr>
      <w:r>
        <w:t>1. Purpose of traceability in BIW</w:t>
      </w:r>
    </w:p>
    <w:p>
      <w:r>
        <w:t>Traceability is the ability to identify a product, determine where and when it was processed, establish which machines and process parameters were involved, and retrieve the associated quality results and production history.</w:t>
      </w:r>
    </w:p>
    <w:p>
      <w:r>
        <w:t>In a Body-in-White (BIW) line, traceability connects the physical body or subassembly to the digital records generated by PLCs, robots, welding controllers, vision systems, nutrunners, barcode readers, RFID readers, and manufacturing information systems.</w:t>
      </w:r>
    </w:p>
    <w:p>
      <w:r>
        <w:t>Traceability is not simply scanning a barcode. It is maintaining a trustworthy relationship between the correct physical product, the correct process operation, and the correct production record.</w:t>
      </w:r>
    </w:p>
    <w:p>
      <w:r>
        <w:t>Typical purposes include:</w:t>
      </w:r>
    </w:p>
    <w:p>
      <w:pPr>
        <w:pStyle w:val="ListBullet"/>
      </w:pPr>
      <w:r>
        <w:t>Identifying each body, subassembly, pallet, or carrier.</w:t>
      </w:r>
    </w:p>
    <w:p>
      <w:pPr>
        <w:pStyle w:val="ListBullet"/>
      </w:pPr>
      <w:r>
        <w:t>Confirming the correct production route and variant.</w:t>
      </w:r>
    </w:p>
    <w:p>
      <w:pPr>
        <w:pStyle w:val="ListBullet"/>
      </w:pPr>
      <w:r>
        <w:t>Recording welding, fastening, inspection, and process results.</w:t>
      </w:r>
    </w:p>
    <w:p>
      <w:pPr>
        <w:pStyle w:val="ListBullet"/>
      </w:pPr>
      <w:r>
        <w:t>Investigating defects and containing affected production.</w:t>
      </w:r>
    </w:p>
    <w:p>
      <w:pPr>
        <w:pStyle w:val="ListBullet"/>
      </w:pPr>
      <w:r>
        <w:t>Supporting quality audits, warranty investigations, and customer requirements.</w:t>
      </w:r>
    </w:p>
    <w:p>
      <w:pPr>
        <w:pStyle w:val="ListBullet"/>
      </w:pPr>
      <w:r>
        <w:t>Monitoring production performance and equipment-related quality trends.</w:t>
      </w:r>
    </w:p>
    <w:p>
      <w:pPr>
        <w:pStyle w:val="ListBullet"/>
      </w:pPr>
      <w:r>
        <w:t>Establishing genealogy between components, subassemblies, and finished assemblies.</w:t>
      </w:r>
    </w:p>
    <w:p>
      <w:pPr>
        <w:pStyle w:val="Heading2"/>
      </w:pPr>
      <w:r>
        <w:t>2. Traceability architecture</w:t>
      </w:r>
    </w:p>
    <w:p>
      <w:r>
        <w:t>A typical architecture connects identification devices and machine controllers to production databases and higher-level systems.</w:t>
      </w:r>
    </w:p>
    <w:p>
      <w:pPr>
        <w:shd w:val="clear" w:color="auto" w:fill="F4F4F4"/>
        <w:spacing w:before="0" w:after="0" w:line="240" w:lineRule="auto"/>
        <w:ind w:left="216" w:right="216"/>
        <w:jc w:val="left"/>
      </w:pPr>
      <w:r>
        <w:rPr>
          <w:rFonts w:ascii="Consolas" w:hAnsi="Consolas"/>
          <w:color w:val="202020"/>
          <w:sz w:val="18"/>
        </w:rPr>
        <w:t>Physical body / subassembly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Barcode / RFID / approved identification method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and station control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Robots / welding controllers / vision / nutrunners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Process results and quality validation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Industrial data collection or traceability service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Production database / MES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Quality reports / genealogy / audit records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ERP or enterprise reporting, where required</w:t>
      </w:r>
    </w:p>
    <w:p/>
    <w:p>
      <w:r>
        <w:t>The exact architecture depends on the plant's automation design. Some systems send records directly from equipment to a data service, while others route all results through the PLC or an industrial gateway.</w:t>
      </w:r>
    </w:p>
    <w:p>
      <w:r>
        <w:t>The key requirement is that every record retains the correct product identity, station identity, process identity, result, and timestamp.</w:t>
      </w:r>
    </w:p>
    <w:p>
      <w:pPr>
        <w:pStyle w:val="Heading2"/>
      </w:pPr>
      <w:r>
        <w:t>3. Core traceability terminology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BIW example</w:t>
            </w:r>
          </w:p>
        </w:tc>
      </w:tr>
      <w:tr>
        <w:tc>
          <w:tcPr>
            <w:tcW w:type="dxa" w:w="3600"/>
          </w:tcPr>
          <w:p>
            <w:pPr>
              <w:spacing w:after="0" w:before="0" w:line="240" w:lineRule="auto"/>
              <w:jc w:val="left"/>
            </w:pPr>
            <w:r>
              <w:t>Traceability</w:t>
            </w:r>
          </w:p>
        </w:tc>
        <w:tc>
          <w:tcPr>
            <w:tcW w:type="dxa" w:w="3600"/>
          </w:tcPr>
          <w:p>
            <w:pPr>
              <w:spacing w:after="0" w:before="0" w:line="240" w:lineRule="auto"/>
              <w:jc w:val="left"/>
            </w:pPr>
            <w:r>
              <w:t>Ability to retrieve product and process history</w:t>
            </w:r>
          </w:p>
        </w:tc>
        <w:tc>
          <w:tcPr>
            <w:tcW w:type="dxa" w:w="3600"/>
          </w:tcPr>
          <w:p>
            <w:pPr>
              <w:spacing w:after="0" w:before="0" w:line="240" w:lineRule="auto"/>
              <w:jc w:val="left"/>
            </w:pPr>
            <w:r>
              <w:t>Find all recorded operations for a body</w:t>
            </w:r>
          </w:p>
        </w:tc>
      </w:tr>
      <w:tr>
        <w:tc>
          <w:tcPr>
            <w:tcW w:type="dxa" w:w="3600"/>
          </w:tcPr>
          <w:p>
            <w:pPr>
              <w:spacing w:after="0" w:before="0" w:line="240" w:lineRule="auto"/>
              <w:jc w:val="left"/>
            </w:pPr>
            <w:r>
              <w:t>Identification</w:t>
            </w:r>
          </w:p>
        </w:tc>
        <w:tc>
          <w:tcPr>
            <w:tcW w:type="dxa" w:w="3600"/>
          </w:tcPr>
          <w:p>
            <w:pPr>
              <w:spacing w:after="0" w:before="0" w:line="240" w:lineRule="auto"/>
              <w:jc w:val="left"/>
            </w:pPr>
            <w:r>
              <w:t>Assigning or reading an identifier</w:t>
            </w:r>
          </w:p>
        </w:tc>
        <w:tc>
          <w:tcPr>
            <w:tcW w:type="dxa" w:w="3600"/>
          </w:tcPr>
          <w:p>
            <w:pPr>
              <w:spacing w:after="0" w:before="0" w:line="240" w:lineRule="auto"/>
              <w:jc w:val="left"/>
            </w:pPr>
            <w:r>
              <w:t>Scanning a body barcode</w:t>
            </w:r>
          </w:p>
        </w:tc>
      </w:tr>
      <w:tr>
        <w:tc>
          <w:tcPr>
            <w:tcW w:type="dxa" w:w="3600"/>
          </w:tcPr>
          <w:p>
            <w:pPr>
              <w:spacing w:after="0" w:before="0" w:line="240" w:lineRule="auto"/>
              <w:jc w:val="left"/>
            </w:pPr>
            <w:r>
              <w:t>Serial number</w:t>
            </w:r>
          </w:p>
        </w:tc>
        <w:tc>
          <w:tcPr>
            <w:tcW w:type="dxa" w:w="3600"/>
          </w:tcPr>
          <w:p>
            <w:pPr>
              <w:spacing w:after="0" w:before="0" w:line="240" w:lineRule="auto"/>
              <w:jc w:val="left"/>
            </w:pPr>
            <w:r>
              <w:t>Unique identifier for an individual item</w:t>
            </w:r>
          </w:p>
        </w:tc>
        <w:tc>
          <w:tcPr>
            <w:tcW w:type="dxa" w:w="3600"/>
          </w:tcPr>
          <w:p>
            <w:pPr>
              <w:spacing w:after="0" w:before="0" w:line="240" w:lineRule="auto"/>
              <w:jc w:val="left"/>
            </w:pPr>
            <w:r>
              <w:t>Unique body serial</w:t>
            </w:r>
          </w:p>
        </w:tc>
      </w:tr>
      <w:tr>
        <w:tc>
          <w:tcPr>
            <w:tcW w:type="dxa" w:w="3600"/>
          </w:tcPr>
          <w:p>
            <w:pPr>
              <w:spacing w:after="0" w:before="0" w:line="240" w:lineRule="auto"/>
              <w:jc w:val="left"/>
            </w:pPr>
            <w:r>
              <w:t>Part number</w:t>
            </w:r>
          </w:p>
        </w:tc>
        <w:tc>
          <w:tcPr>
            <w:tcW w:type="dxa" w:w="3600"/>
          </w:tcPr>
          <w:p>
            <w:pPr>
              <w:spacing w:after="0" w:before="0" w:line="240" w:lineRule="auto"/>
              <w:jc w:val="left"/>
            </w:pPr>
            <w:r>
              <w:t>Identifier for a product or component type</w:t>
            </w:r>
          </w:p>
        </w:tc>
        <w:tc>
          <w:tcPr>
            <w:tcW w:type="dxa" w:w="3600"/>
          </w:tcPr>
          <w:p>
            <w:pPr>
              <w:spacing w:after="0" w:before="0" w:line="240" w:lineRule="auto"/>
              <w:jc w:val="left"/>
            </w:pPr>
            <w:r>
              <w:t>A particular bracket model</w:t>
            </w:r>
          </w:p>
        </w:tc>
      </w:tr>
      <w:tr>
        <w:tc>
          <w:tcPr>
            <w:tcW w:type="dxa" w:w="3600"/>
          </w:tcPr>
          <w:p>
            <w:pPr>
              <w:spacing w:after="0" w:before="0" w:line="240" w:lineRule="auto"/>
              <w:jc w:val="left"/>
            </w:pPr>
            <w:r>
              <w:t>Variant</w:t>
            </w:r>
          </w:p>
        </w:tc>
        <w:tc>
          <w:tcPr>
            <w:tcW w:type="dxa" w:w="3600"/>
          </w:tcPr>
          <w:p>
            <w:pPr>
              <w:spacing w:after="0" w:before="0" w:line="240" w:lineRule="auto"/>
              <w:jc w:val="left"/>
            </w:pPr>
            <w:r>
              <w:t>Configuration or version of a product</w:t>
            </w:r>
          </w:p>
        </w:tc>
        <w:tc>
          <w:tcPr>
            <w:tcW w:type="dxa" w:w="3600"/>
          </w:tcPr>
          <w:p>
            <w:pPr>
              <w:spacing w:after="0" w:before="0" w:line="240" w:lineRule="auto"/>
              <w:jc w:val="left"/>
            </w:pPr>
            <w:r>
              <w:t>Different body configuration</w:t>
            </w:r>
          </w:p>
        </w:tc>
      </w:tr>
      <w:tr>
        <w:tc>
          <w:tcPr>
            <w:tcW w:type="dxa" w:w="3600"/>
          </w:tcPr>
          <w:p>
            <w:pPr>
              <w:spacing w:after="0" w:before="0" w:line="240" w:lineRule="auto"/>
              <w:jc w:val="left"/>
            </w:pPr>
            <w:r>
              <w:t>Genealogy</w:t>
            </w:r>
          </w:p>
        </w:tc>
        <w:tc>
          <w:tcPr>
            <w:tcW w:type="dxa" w:w="3600"/>
          </w:tcPr>
          <w:p>
            <w:pPr>
              <w:spacing w:after="0" w:before="0" w:line="240" w:lineRule="auto"/>
              <w:jc w:val="left"/>
            </w:pPr>
            <w:r>
              <w:t>Relationship between components and parent assemblies</w:t>
            </w:r>
          </w:p>
        </w:tc>
        <w:tc>
          <w:tcPr>
            <w:tcW w:type="dxa" w:w="3600"/>
          </w:tcPr>
          <w:p>
            <w:pPr>
              <w:spacing w:after="0" w:before="0" w:line="240" w:lineRule="auto"/>
              <w:jc w:val="left"/>
            </w:pPr>
            <w:r>
              <w:t>Link a subassembly to the body receiving it</w:t>
            </w:r>
          </w:p>
        </w:tc>
      </w:tr>
      <w:tr>
        <w:tc>
          <w:tcPr>
            <w:tcW w:type="dxa" w:w="3600"/>
          </w:tcPr>
          <w:p>
            <w:pPr>
              <w:spacing w:after="0" w:before="0" w:line="240" w:lineRule="auto"/>
              <w:jc w:val="left"/>
            </w:pPr>
            <w:r>
              <w:t>Process record</w:t>
            </w:r>
          </w:p>
        </w:tc>
        <w:tc>
          <w:tcPr>
            <w:tcW w:type="dxa" w:w="3600"/>
          </w:tcPr>
          <w:p>
            <w:pPr>
              <w:spacing w:after="0" w:before="0" w:line="240" w:lineRule="auto"/>
              <w:jc w:val="left"/>
            </w:pPr>
            <w:r>
              <w:t>Record of an operation performed</w:t>
            </w:r>
          </w:p>
        </w:tc>
        <w:tc>
          <w:tcPr>
            <w:tcW w:type="dxa" w:w="3600"/>
          </w:tcPr>
          <w:p>
            <w:pPr>
              <w:spacing w:after="0" w:before="0" w:line="240" w:lineRule="auto"/>
              <w:jc w:val="left"/>
            </w:pPr>
            <w:r>
              <w:t>Weld inspection result</w:t>
            </w:r>
          </w:p>
        </w:tc>
      </w:tr>
      <w:tr>
        <w:tc>
          <w:tcPr>
            <w:tcW w:type="dxa" w:w="3600"/>
          </w:tcPr>
          <w:p>
            <w:pPr>
              <w:spacing w:after="0" w:before="0" w:line="240" w:lineRule="auto"/>
              <w:jc w:val="left"/>
            </w:pPr>
            <w:r>
              <w:t>Event</w:t>
            </w:r>
          </w:p>
        </w:tc>
        <w:tc>
          <w:tcPr>
            <w:tcW w:type="dxa" w:w="3600"/>
          </w:tcPr>
          <w:p>
            <w:pPr>
              <w:spacing w:after="0" w:before="0" w:line="240" w:lineRule="auto"/>
              <w:jc w:val="left"/>
            </w:pPr>
            <w:r>
              <w:t>A recorded occurrence at a particular stage</w:t>
            </w:r>
          </w:p>
        </w:tc>
        <w:tc>
          <w:tcPr>
            <w:tcW w:type="dxa" w:w="3600"/>
          </w:tcPr>
          <w:p>
            <w:pPr>
              <w:spacing w:after="0" w:before="0" w:line="240" w:lineRule="auto"/>
              <w:jc w:val="left"/>
            </w:pPr>
            <w:r>
              <w:t>Body entered a station</w:t>
            </w:r>
          </w:p>
        </w:tc>
      </w:tr>
      <w:tr>
        <w:tc>
          <w:tcPr>
            <w:tcW w:type="dxa" w:w="3600"/>
          </w:tcPr>
          <w:p>
            <w:pPr>
              <w:spacing w:after="0" w:before="0" w:line="240" w:lineRule="auto"/>
              <w:jc w:val="left"/>
            </w:pPr>
            <w:r>
              <w:t>Transaction ID</w:t>
            </w:r>
          </w:p>
        </w:tc>
        <w:tc>
          <w:tcPr>
            <w:tcW w:type="dxa" w:w="3600"/>
          </w:tcPr>
          <w:p>
            <w:pPr>
              <w:spacing w:after="0" w:before="0" w:line="240" w:lineRule="auto"/>
              <w:jc w:val="left"/>
            </w:pPr>
            <w:r>
              <w:t>Identifier for a specific data exchange or operation</w:t>
            </w:r>
          </w:p>
        </w:tc>
        <w:tc>
          <w:tcPr>
            <w:tcW w:type="dxa" w:w="3600"/>
          </w:tcPr>
          <w:p>
            <w:pPr>
              <w:spacing w:after="0" w:before="0" w:line="240" w:lineRule="auto"/>
              <w:jc w:val="left"/>
            </w:pPr>
            <w:r>
              <w:t>Unique fastening result submission</w:t>
            </w:r>
          </w:p>
        </w:tc>
      </w:tr>
      <w:tr>
        <w:tc>
          <w:tcPr>
            <w:tcW w:type="dxa" w:w="3600"/>
          </w:tcPr>
          <w:p>
            <w:pPr>
              <w:spacing w:after="0" w:before="0" w:line="240" w:lineRule="auto"/>
              <w:jc w:val="left"/>
            </w:pPr>
            <w:r>
              <w:t>Work-in-process (WIP)</w:t>
            </w:r>
          </w:p>
        </w:tc>
        <w:tc>
          <w:tcPr>
            <w:tcW w:type="dxa" w:w="3600"/>
          </w:tcPr>
          <w:p>
            <w:pPr>
              <w:spacing w:after="0" w:before="0" w:line="240" w:lineRule="auto"/>
              <w:jc w:val="left"/>
            </w:pPr>
            <w:r>
              <w:t>Product currently moving through manufacturing</w:t>
            </w:r>
          </w:p>
        </w:tc>
        <w:tc>
          <w:tcPr>
            <w:tcW w:type="dxa" w:w="3600"/>
          </w:tcPr>
          <w:p>
            <w:pPr>
              <w:spacing w:after="0" w:before="0" w:line="240" w:lineRule="auto"/>
              <w:jc w:val="left"/>
            </w:pPr>
            <w:r>
              <w:t>Body between BIW stations</w:t>
            </w:r>
          </w:p>
        </w:tc>
      </w:tr>
      <w:tr>
        <w:tc>
          <w:tcPr>
            <w:tcW w:type="dxa" w:w="3600"/>
          </w:tcPr>
          <w:p>
            <w:pPr>
              <w:spacing w:after="0" w:before="0" w:line="240" w:lineRule="auto"/>
              <w:jc w:val="left"/>
            </w:pPr>
            <w:r>
              <w:t>Audit trail</w:t>
            </w:r>
          </w:p>
        </w:tc>
        <w:tc>
          <w:tcPr>
            <w:tcW w:type="dxa" w:w="3600"/>
          </w:tcPr>
          <w:p>
            <w:pPr>
              <w:spacing w:after="0" w:before="0" w:line="240" w:lineRule="auto"/>
              <w:jc w:val="left"/>
            </w:pPr>
            <w:r>
              <w:t>Record of relevant events and changes</w:t>
            </w:r>
          </w:p>
        </w:tc>
        <w:tc>
          <w:tcPr>
            <w:tcW w:type="dxa" w:w="3600"/>
          </w:tcPr>
          <w:p>
            <w:pPr>
              <w:spacing w:after="0" w:before="0" w:line="240" w:lineRule="auto"/>
              <w:jc w:val="left"/>
            </w:pPr>
            <w:r>
              <w:t>History of a recipe revision</w:t>
            </w:r>
          </w:p>
        </w:tc>
      </w:tr>
      <w:tr>
        <w:tc>
          <w:tcPr>
            <w:tcW w:type="dxa" w:w="3600"/>
          </w:tcPr>
          <w:p>
            <w:pPr>
              <w:spacing w:after="0" w:before="0" w:line="240" w:lineRule="auto"/>
              <w:jc w:val="left"/>
            </w:pPr>
            <w:r>
              <w:t>Data provenance</w:t>
            </w:r>
          </w:p>
        </w:tc>
        <w:tc>
          <w:tcPr>
            <w:tcW w:type="dxa" w:w="3600"/>
          </w:tcPr>
          <w:p>
            <w:pPr>
              <w:spacing w:after="0" w:before="0" w:line="240" w:lineRule="auto"/>
              <w:jc w:val="left"/>
            </w:pPr>
            <w:r>
              <w:t>Information describing the origin and processing of data</w:t>
            </w:r>
          </w:p>
        </w:tc>
        <w:tc>
          <w:tcPr>
            <w:tcW w:type="dxa" w:w="3600"/>
          </w:tcPr>
          <w:p>
            <w:pPr>
              <w:spacing w:after="0" w:before="0" w:line="240" w:lineRule="auto"/>
              <w:jc w:val="left"/>
            </w:pPr>
            <w:r>
              <w:t>Which controller produced a measurement</w:t>
            </w:r>
          </w:p>
        </w:tc>
      </w:tr>
      <w:tr>
        <w:tc>
          <w:tcPr>
            <w:tcW w:type="dxa" w:w="3600"/>
          </w:tcPr>
          <w:p>
            <w:pPr>
              <w:spacing w:after="0" w:before="0" w:line="240" w:lineRule="auto"/>
              <w:jc w:val="left"/>
            </w:pPr>
            <w:r>
              <w:t>Retention</w:t>
            </w:r>
          </w:p>
        </w:tc>
        <w:tc>
          <w:tcPr>
            <w:tcW w:type="dxa" w:w="3600"/>
          </w:tcPr>
          <w:p>
            <w:pPr>
              <w:spacing w:after="0" w:before="0" w:line="240" w:lineRule="auto"/>
              <w:jc w:val="left"/>
            </w:pPr>
            <w:r>
              <w:t>Period for which records must be preserved</w:t>
            </w:r>
          </w:p>
        </w:tc>
        <w:tc>
          <w:tcPr>
            <w:tcW w:type="dxa" w:w="3600"/>
          </w:tcPr>
          <w:p>
            <w:pPr>
              <w:spacing w:after="0" w:before="0" w:line="240" w:lineRule="auto"/>
              <w:jc w:val="left"/>
            </w:pPr>
            <w:r>
              <w:t>Quality records retained according to policy</w:t>
            </w:r>
          </w:p>
        </w:tc>
      </w:tr>
      <w:tr>
        <w:tc>
          <w:tcPr>
            <w:tcW w:type="dxa" w:w="3600"/>
          </w:tcPr>
          <w:p>
            <w:pPr>
              <w:spacing w:after="0" w:before="0" w:line="240" w:lineRule="auto"/>
              <w:jc w:val="left"/>
            </w:pPr>
            <w:r>
              <w:t>Containment</w:t>
            </w:r>
          </w:p>
        </w:tc>
        <w:tc>
          <w:tcPr>
            <w:tcW w:type="dxa" w:w="3600"/>
          </w:tcPr>
          <w:p>
            <w:pPr>
              <w:spacing w:after="0" w:before="0" w:line="240" w:lineRule="auto"/>
              <w:jc w:val="left"/>
            </w:pPr>
            <w:r>
              <w:t>Restricting potentially affected products</w:t>
            </w:r>
          </w:p>
        </w:tc>
        <w:tc>
          <w:tcPr>
            <w:tcW w:type="dxa" w:w="3600"/>
          </w:tcPr>
          <w:p>
            <w:pPr>
              <w:spacing w:after="0" w:before="0" w:line="240" w:lineRule="auto"/>
              <w:jc w:val="left"/>
            </w:pPr>
            <w:r>
              <w:t>Hold bodies linked to a defective process</w:t>
            </w:r>
          </w:p>
        </w:tc>
      </w:tr>
    </w:tbl>
    <w:p/>
    <w:p>
      <w:r>
        <w:t>A body serial number, a component part number, and a pallet ID are not interchangeable. Each represents a different entity and must be modeled accordingly.</w:t>
      </w:r>
    </w:p>
    <w:p>
      <w:pPr>
        <w:pStyle w:val="Heading2"/>
      </w:pPr>
      <w:r>
        <w:t>4. Types of traceability</w:t>
      </w:r>
    </w:p>
    <w:p>
      <w:pPr>
        <w:pStyle w:val="Heading3"/>
      </w:pPr>
      <w:r>
        <w:t>4.1 Forward traceability</w:t>
      </w:r>
    </w:p>
    <w:p>
      <w:r>
        <w:t>Forward traceability starts with a component, material lot, or process input and identifies the assemblies or products that used it.</w:t>
      </w:r>
    </w:p>
    <w:p>
      <w:r>
        <w:t>Example: a particular fastener batch is found to have a quality defect. Forward traceability identifies the affected assemblies that used that batch, provided the batch identity was captured and linked correctly.</w:t>
      </w:r>
    </w:p>
    <w:p>
      <w:pPr>
        <w:pStyle w:val="Heading3"/>
      </w:pPr>
      <w:r>
        <w:t>4.2 Backward traceability</w:t>
      </w:r>
    </w:p>
    <w:p>
      <w:r>
        <w:t>Backward traceability starts with a finished assembly or identified body and retrieves its recorded production history.</w:t>
      </w:r>
    </w:p>
    <w:p>
      <w:r>
        <w:t>Example: a body fails a downstream inspection. Backward traceability retrieves the associated welding records, station results, component genealogy, and applicable process configuration.</w:t>
      </w:r>
    </w:p>
    <w:p>
      <w:pPr>
        <w:pStyle w:val="Heading3"/>
      </w:pPr>
      <w:r>
        <w:t>4.3 Process traceability</w:t>
      </w:r>
    </w:p>
    <w:p>
      <w:r>
        <w:t>Process traceability records what happened at each manufacturing stage, including equipment identity, result status, and relevant process parameters.</w:t>
      </w:r>
    </w:p>
    <w:p>
      <w:pPr>
        <w:pStyle w:val="Heading3"/>
      </w:pPr>
      <w:r>
        <w:t>4.4 Genealogy traceability</w:t>
      </w:r>
    </w:p>
    <w:p>
      <w:r>
        <w:t>Genealogy records parent-child relationships between assemblies, subassemblies, components, and relevant material lots.</w:t>
      </w:r>
    </w:p>
    <w:p>
      <w:pPr>
        <w:shd w:val="clear" w:color="auto" w:fill="F4F4F4"/>
        <w:spacing w:before="0" w:after="0" w:line="240" w:lineRule="auto"/>
        <w:ind w:left="216" w:right="216"/>
        <w:jc w:val="left"/>
      </w:pPr>
      <w:r>
        <w:rPr>
          <w:rFonts w:ascii="Consolas" w:hAnsi="Consolas"/>
          <w:color w:val="202020"/>
          <w:sz w:val="18"/>
        </w:rPr>
        <w:t>Vehicle / body ID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BIW body assembly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Subassembly IDs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Component IDs / material lots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Relevant process and quality records</w:t>
      </w:r>
    </w:p>
    <w:p/>
    <w:p>
      <w:r>
        <w:t>Not every plant captures genealogy down to every individual component. The required level must be defined by engineering, quality, customer requirements, and the manufacturing process.</w:t>
      </w:r>
    </w:p>
    <w:p>
      <w:pPr>
        <w:pStyle w:val="Heading2"/>
      </w:pPr>
      <w:r>
        <w:t>5. Identification methods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Method</w:t>
            </w:r>
          </w:p>
        </w:tc>
        <w:tc>
          <w:tcPr>
            <w:tcW w:type="dxa" w:w="2700"/>
            <w:shd w:val="clear" w:color="auto" w:fill="EEF2F7"/>
          </w:tcPr>
          <w:p>
            <w:pPr>
              <w:spacing w:after="0" w:before="0" w:line="240" w:lineRule="auto"/>
              <w:jc w:val="left"/>
            </w:pPr>
            <w:r>
              <w:rPr>
                <w:b/>
                <w:color w:val="1A2E4A"/>
              </w:rPr>
              <w:t>Working principle</w:t>
            </w:r>
          </w:p>
        </w:tc>
        <w:tc>
          <w:tcPr>
            <w:tcW w:type="dxa" w:w="2700"/>
            <w:shd w:val="clear" w:color="auto" w:fill="EEF2F7"/>
          </w:tcPr>
          <w:p>
            <w:pPr>
              <w:spacing w:after="0" w:before="0" w:line="240" w:lineRule="auto"/>
              <w:jc w:val="left"/>
            </w:pPr>
            <w:r>
              <w:rPr>
                <w:b/>
                <w:color w:val="1A2E4A"/>
              </w:rPr>
              <w:t>Advantages</w:t>
            </w:r>
          </w:p>
        </w:tc>
        <w:tc>
          <w:tcPr>
            <w:tcW w:type="dxa" w:w="2700"/>
            <w:shd w:val="clear" w:color="auto" w:fill="EEF2F7"/>
          </w:tcPr>
          <w:p>
            <w:pPr>
              <w:spacing w:after="0" w:before="0" w:line="240" w:lineRule="auto"/>
              <w:jc w:val="left"/>
            </w:pPr>
            <w:r>
              <w:rPr>
                <w:b/>
                <w:color w:val="1A2E4A"/>
              </w:rPr>
              <w:t>Limitations</w:t>
            </w:r>
          </w:p>
        </w:tc>
      </w:tr>
      <w:tr>
        <w:tc>
          <w:tcPr>
            <w:tcW w:type="dxa" w:w="2700"/>
          </w:tcPr>
          <w:p>
            <w:pPr>
              <w:spacing w:after="0" w:before="0" w:line="240" w:lineRule="auto"/>
              <w:jc w:val="left"/>
            </w:pPr>
            <w:r>
              <w:t>1D barcode</w:t>
            </w:r>
          </w:p>
        </w:tc>
        <w:tc>
          <w:tcPr>
            <w:tcW w:type="dxa" w:w="2700"/>
          </w:tcPr>
          <w:p>
            <w:pPr>
              <w:spacing w:after="0" w:before="0" w:line="240" w:lineRule="auto"/>
              <w:jc w:val="left"/>
            </w:pPr>
            <w:r>
              <w:t>Encodes data in linear bars and spaces</w:t>
            </w:r>
          </w:p>
        </w:tc>
        <w:tc>
          <w:tcPr>
            <w:tcW w:type="dxa" w:w="2700"/>
          </w:tcPr>
          <w:p>
            <w:pPr>
              <w:spacing w:after="0" w:before="0" w:line="240" w:lineRule="auto"/>
              <w:jc w:val="left"/>
            </w:pPr>
            <w:r>
              <w:t>Simple and widely used</w:t>
            </w:r>
          </w:p>
        </w:tc>
        <w:tc>
          <w:tcPr>
            <w:tcW w:type="dxa" w:w="2700"/>
          </w:tcPr>
          <w:p>
            <w:pPr>
              <w:spacing w:after="0" w:before="0" w:line="240" w:lineRule="auto"/>
              <w:jc w:val="left"/>
            </w:pPr>
            <w:r>
              <w:t>Sensitive to orientation, damage, and print quality</w:t>
            </w:r>
          </w:p>
        </w:tc>
      </w:tr>
      <w:tr>
        <w:tc>
          <w:tcPr>
            <w:tcW w:type="dxa" w:w="2700"/>
          </w:tcPr>
          <w:p>
            <w:pPr>
              <w:spacing w:after="0" w:before="0" w:line="240" w:lineRule="auto"/>
              <w:jc w:val="left"/>
            </w:pPr>
            <w:r>
              <w:t>2D barcode</w:t>
            </w:r>
          </w:p>
        </w:tc>
        <w:tc>
          <w:tcPr>
            <w:tcW w:type="dxa" w:w="2700"/>
          </w:tcPr>
          <w:p>
            <w:pPr>
              <w:spacing w:after="0" w:before="0" w:line="240" w:lineRule="auto"/>
              <w:jc w:val="left"/>
            </w:pPr>
            <w:r>
              <w:t>Encodes data in a two-dimensional pattern</w:t>
            </w:r>
          </w:p>
        </w:tc>
        <w:tc>
          <w:tcPr>
            <w:tcW w:type="dxa" w:w="2700"/>
          </w:tcPr>
          <w:p>
            <w:pPr>
              <w:spacing w:after="0" w:before="0" w:line="240" w:lineRule="auto"/>
              <w:jc w:val="left"/>
            </w:pPr>
            <w:r>
              <w:t>Higher data density and useful error correction</w:t>
            </w:r>
          </w:p>
        </w:tc>
        <w:tc>
          <w:tcPr>
            <w:tcW w:type="dxa" w:w="2700"/>
          </w:tcPr>
          <w:p>
            <w:pPr>
              <w:spacing w:after="0" w:before="0" w:line="240" w:lineRule="auto"/>
              <w:jc w:val="left"/>
            </w:pPr>
            <w:r>
              <w:t>Requires suitable imaging and decoding</w:t>
            </w:r>
          </w:p>
        </w:tc>
      </w:tr>
      <w:tr>
        <w:tc>
          <w:tcPr>
            <w:tcW w:type="dxa" w:w="2700"/>
          </w:tcPr>
          <w:p>
            <w:pPr>
              <w:spacing w:after="0" w:before="0" w:line="240" w:lineRule="auto"/>
              <w:jc w:val="left"/>
            </w:pPr>
            <w:r>
              <w:t>RFID</w:t>
            </w:r>
          </w:p>
        </w:tc>
        <w:tc>
          <w:tcPr>
            <w:tcW w:type="dxa" w:w="2700"/>
          </w:tcPr>
          <w:p>
            <w:pPr>
              <w:spacing w:after="0" w:before="0" w:line="240" w:lineRule="auto"/>
              <w:jc w:val="left"/>
            </w:pPr>
            <w:r>
              <w:t>Reads data from a radio-frequency tag</w:t>
            </w:r>
          </w:p>
        </w:tc>
        <w:tc>
          <w:tcPr>
            <w:tcW w:type="dxa" w:w="2700"/>
          </w:tcPr>
          <w:p>
            <w:pPr>
              <w:spacing w:after="0" w:before="0" w:line="240" w:lineRule="auto"/>
              <w:jc w:val="left"/>
            </w:pPr>
            <w:r>
              <w:t>Can support identification without direct optical visibility</w:t>
            </w:r>
          </w:p>
        </w:tc>
        <w:tc>
          <w:tcPr>
            <w:tcW w:type="dxa" w:w="2700"/>
          </w:tcPr>
          <w:p>
            <w:pPr>
              <w:spacing w:after="0" w:before="0" w:line="240" w:lineRule="auto"/>
              <w:jc w:val="left"/>
            </w:pPr>
            <w:r>
              <w:t>Read range, metal, interference, and tag placement affect performance</w:t>
            </w:r>
          </w:p>
        </w:tc>
      </w:tr>
      <w:tr>
        <w:tc>
          <w:tcPr>
            <w:tcW w:type="dxa" w:w="2700"/>
          </w:tcPr>
          <w:p>
            <w:pPr>
              <w:spacing w:after="0" w:before="0" w:line="240" w:lineRule="auto"/>
              <w:jc w:val="left"/>
            </w:pPr>
            <w:r>
              <w:t>Direct part marking</w:t>
            </w:r>
          </w:p>
        </w:tc>
        <w:tc>
          <w:tcPr>
            <w:tcW w:type="dxa" w:w="2700"/>
          </w:tcPr>
          <w:p>
            <w:pPr>
              <w:spacing w:after="0" w:before="0" w:line="240" w:lineRule="auto"/>
              <w:jc w:val="left"/>
            </w:pPr>
            <w:r>
              <w:t>Marks identification directly on the component</w:t>
            </w:r>
          </w:p>
        </w:tc>
        <w:tc>
          <w:tcPr>
            <w:tcW w:type="dxa" w:w="2700"/>
          </w:tcPr>
          <w:p>
            <w:pPr>
              <w:spacing w:after="0" w:before="0" w:line="240" w:lineRule="auto"/>
              <w:jc w:val="left"/>
            </w:pPr>
            <w:r>
              <w:t>Can remain associated with the part after handling</w:t>
            </w:r>
          </w:p>
        </w:tc>
        <w:tc>
          <w:tcPr>
            <w:tcW w:type="dxa" w:w="2700"/>
          </w:tcPr>
          <w:p>
            <w:pPr>
              <w:spacing w:after="0" w:before="0" w:line="240" w:lineRule="auto"/>
              <w:jc w:val="left"/>
            </w:pPr>
            <w:r>
              <w:t>Surface finish and marking quality affect readability</w:t>
            </w:r>
          </w:p>
        </w:tc>
      </w:tr>
      <w:tr>
        <w:tc>
          <w:tcPr>
            <w:tcW w:type="dxa" w:w="2700"/>
          </w:tcPr>
          <w:p>
            <w:pPr>
              <w:spacing w:after="0" w:before="0" w:line="240" w:lineRule="auto"/>
              <w:jc w:val="left"/>
            </w:pPr>
            <w:r>
              <w:t>OCR</w:t>
            </w:r>
          </w:p>
        </w:tc>
        <w:tc>
          <w:tcPr>
            <w:tcW w:type="dxa" w:w="2700"/>
          </w:tcPr>
          <w:p>
            <w:pPr>
              <w:spacing w:after="0" w:before="0" w:line="240" w:lineRule="auto"/>
              <w:jc w:val="left"/>
            </w:pPr>
            <w:r>
              <w:t>Reads human-readable characters from an image</w:t>
            </w:r>
          </w:p>
        </w:tc>
        <w:tc>
          <w:tcPr>
            <w:tcW w:type="dxa" w:w="2700"/>
          </w:tcPr>
          <w:p>
            <w:pPr>
              <w:spacing w:after="0" w:before="0" w:line="240" w:lineRule="auto"/>
              <w:jc w:val="left"/>
            </w:pPr>
            <w:r>
              <w:t>Can read printed or marked identifiers without a barcode</w:t>
            </w:r>
          </w:p>
        </w:tc>
        <w:tc>
          <w:tcPr>
            <w:tcW w:type="dxa" w:w="2700"/>
          </w:tcPr>
          <w:p>
            <w:pPr>
              <w:spacing w:after="0" w:before="0" w:line="240" w:lineRule="auto"/>
              <w:jc w:val="left"/>
            </w:pPr>
            <w:r>
              <w:t>Sensitive to character quality and visual conditions</w:t>
            </w:r>
          </w:p>
        </w:tc>
      </w:tr>
      <w:tr>
        <w:tc>
          <w:tcPr>
            <w:tcW w:type="dxa" w:w="2700"/>
          </w:tcPr>
          <w:p>
            <w:pPr>
              <w:spacing w:after="0" w:before="0" w:line="240" w:lineRule="auto"/>
              <w:jc w:val="left"/>
            </w:pPr>
            <w:r>
              <w:t>PLC-generated tracking ID</w:t>
            </w:r>
          </w:p>
        </w:tc>
        <w:tc>
          <w:tcPr>
            <w:tcW w:type="dxa" w:w="2700"/>
          </w:tcPr>
          <w:p>
            <w:pPr>
              <w:spacing w:after="0" w:before="0" w:line="240" w:lineRule="auto"/>
              <w:jc w:val="left"/>
            </w:pPr>
            <w:r>
              <w:t>Creates or manages an identifier in control logic</w:t>
            </w:r>
          </w:p>
        </w:tc>
        <w:tc>
          <w:tcPr>
            <w:tcW w:type="dxa" w:w="2700"/>
          </w:tcPr>
          <w:p>
            <w:pPr>
              <w:spacing w:after="0" w:before="0" w:line="240" w:lineRule="auto"/>
              <w:jc w:val="left"/>
            </w:pPr>
            <w:r>
              <w:t>Useful for internal tracking where designed appropriately</w:t>
            </w:r>
          </w:p>
        </w:tc>
        <w:tc>
          <w:tcPr>
            <w:tcW w:type="dxa" w:w="2700"/>
          </w:tcPr>
          <w:p>
            <w:pPr>
              <w:spacing w:after="0" w:before="0" w:line="240" w:lineRule="auto"/>
              <w:jc w:val="left"/>
            </w:pPr>
            <w:r>
              <w:t>Requires reliable persistence and duplicate prevention</w:t>
            </w:r>
          </w:p>
        </w:tc>
      </w:tr>
      <w:tr>
        <w:tc>
          <w:tcPr>
            <w:tcW w:type="dxa" w:w="2700"/>
          </w:tcPr>
          <w:p>
            <w:pPr>
              <w:spacing w:after="0" w:before="0" w:line="240" w:lineRule="auto"/>
              <w:jc w:val="left"/>
            </w:pPr>
            <w:r>
              <w:t>MES-assigned ID</w:t>
            </w:r>
          </w:p>
        </w:tc>
        <w:tc>
          <w:tcPr>
            <w:tcW w:type="dxa" w:w="2700"/>
          </w:tcPr>
          <w:p>
            <w:pPr>
              <w:spacing w:after="0" w:before="0" w:line="240" w:lineRule="auto"/>
              <w:jc w:val="left"/>
            </w:pPr>
            <w:r>
              <w:t>Manufacturing execution system assigns or manages identity</w:t>
            </w:r>
          </w:p>
        </w:tc>
        <w:tc>
          <w:tcPr>
            <w:tcW w:type="dxa" w:w="2700"/>
          </w:tcPr>
          <w:p>
            <w:pPr>
              <w:spacing w:after="0" w:before="0" w:line="240" w:lineRule="auto"/>
              <w:jc w:val="left"/>
            </w:pPr>
            <w:r>
              <w:t>Supports enterprise-level tracking</w:t>
            </w:r>
          </w:p>
        </w:tc>
        <w:tc>
          <w:tcPr>
            <w:tcW w:type="dxa" w:w="2700"/>
          </w:tcPr>
          <w:p>
            <w:pPr>
              <w:spacing w:after="0" w:before="0" w:line="240" w:lineRule="auto"/>
              <w:jc w:val="left"/>
            </w:pPr>
            <w:r>
              <w:t>Depends on communication and identity-management design</w:t>
            </w:r>
          </w:p>
        </w:tc>
      </w:tr>
    </w:tbl>
    <w:p/>
    <w:p>
      <w:r>
        <w:t>A carrier ID identifies the carrier, not necessarily the body on it. If a body changes carriers, the system must update the relationship without confusing the two identities.</w:t>
      </w:r>
    </w:p>
    <w:p>
      <w:pPr>
        <w:pStyle w:val="Heading2"/>
      </w:pPr>
      <w:r>
        <w:t>6. Identity management and data model</w:t>
      </w:r>
    </w:p>
    <w:p>
      <w:r>
        <w:t>A traceability system should clearly distinguish entities, identifiers, events, and results.</w:t>
      </w:r>
    </w:p>
    <w:p>
      <w:pPr>
        <w:pStyle w:val="Heading3"/>
      </w:pPr>
      <w:r>
        <w:t>6.1 Typical entities</w:t>
      </w:r>
    </w:p>
    <w:p>
      <w:pPr>
        <w:pStyle w:val="ListBullet"/>
      </w:pPr>
      <w:r>
        <w:t>Product: body, assembly, or subassembly.</w:t>
      </w:r>
    </w:p>
    <w:p>
      <w:pPr>
        <w:pStyle w:val="ListBullet"/>
      </w:pPr>
      <w:r>
        <w:t>Component: installed part or material item.</w:t>
      </w:r>
    </w:p>
    <w:p>
      <w:pPr>
        <w:pStyle w:val="ListBullet"/>
      </w:pPr>
      <w:r>
        <w:t>Carrier: pallet, skid, fixture, or transport carrier.</w:t>
      </w:r>
    </w:p>
    <w:p>
      <w:pPr>
        <w:pStyle w:val="ListBullet"/>
      </w:pPr>
      <w:r>
        <w:t>Station: manufacturing location.</w:t>
      </w:r>
    </w:p>
    <w:p>
      <w:pPr>
        <w:pStyle w:val="ListBullet"/>
      </w:pPr>
      <w:r>
        <w:t>Equipment: robot, PLC, welding controller, camera, or nutrunner.</w:t>
      </w:r>
    </w:p>
    <w:p>
      <w:pPr>
        <w:pStyle w:val="ListBullet"/>
      </w:pPr>
      <w:r>
        <w:t>Process operation: welding, fastening, inspection, or another defined activity.</w:t>
      </w:r>
    </w:p>
    <w:p>
      <w:pPr>
        <w:pStyle w:val="ListBullet"/>
      </w:pPr>
      <w:r>
        <w:t>Recipe or program: approved configuration used for the operation.</w:t>
      </w:r>
    </w:p>
    <w:p>
      <w:pPr>
        <w:pStyle w:val="ListBullet"/>
      </w:pPr>
      <w:r>
        <w:t>Result: outcome and associated measurements.</w:t>
      </w:r>
    </w:p>
    <w:p>
      <w:pPr>
        <w:pStyle w:val="ListBullet"/>
      </w:pPr>
      <w:r>
        <w:t>Event: an occurrence such as station entry, process completion, or quality rejection.</w:t>
      </w:r>
    </w:p>
    <w:p>
      <w:pPr>
        <w:pStyle w:val="Heading3"/>
      </w:pPr>
      <w:r>
        <w:t>6.2 Example traceability record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Field</w:t>
            </w:r>
          </w:p>
        </w:tc>
        <w:tc>
          <w:tcPr>
            <w:tcW w:type="dxa" w:w="3600"/>
            <w:shd w:val="clear" w:color="auto" w:fill="EEF2F7"/>
          </w:tcPr>
          <w:p>
            <w:pPr>
              <w:spacing w:after="0" w:before="0" w:line="240" w:lineRule="auto"/>
              <w:jc w:val="left"/>
            </w:pPr>
            <w:r>
              <w:rPr>
                <w:b/>
                <w:color w:val="1A2E4A"/>
              </w:rPr>
              <w:t>Example</w:t>
            </w:r>
          </w:p>
        </w:tc>
        <w:tc>
          <w:tcPr>
            <w:tcW w:type="dxa" w:w="3600"/>
            <w:shd w:val="clear" w:color="auto" w:fill="EEF2F7"/>
          </w:tcPr>
          <w:p>
            <w:pPr>
              <w:spacing w:after="0" w:before="0" w:line="240" w:lineRule="auto"/>
              <w:jc w:val="left"/>
            </w:pPr>
            <w:r>
              <w:rPr>
                <w:b/>
                <w:color w:val="1A2E4A"/>
              </w:rPr>
              <w:t>Purpose</w:t>
            </w:r>
          </w:p>
        </w:tc>
      </w:tr>
      <w:tr>
        <w:tc>
          <w:tcPr>
            <w:tcW w:type="dxa" w:w="3600"/>
          </w:tcPr>
          <w:p>
            <w:pPr>
              <w:spacing w:after="0" w:before="0" w:line="240" w:lineRule="auto"/>
              <w:jc w:val="left"/>
            </w:pPr>
            <w:r>
              <w:t>Product ID</w:t>
            </w:r>
          </w:p>
        </w:tc>
        <w:tc>
          <w:tcPr>
            <w:tcW w:type="dxa" w:w="3600"/>
          </w:tcPr>
          <w:p>
            <w:pPr>
              <w:spacing w:after="0" w:before="0" w:line="240" w:lineRule="auto"/>
              <w:jc w:val="left"/>
            </w:pPr>
            <w:r>
              <w:rPr>
                <w:rFonts w:ascii="Consolas" w:hAnsi="Consolas"/>
                <w:color w:val="333333"/>
                <w:sz w:val="19"/>
                <w:shd w:val="clear" w:color="auto" w:fill="EFEFEF"/>
              </w:rPr>
              <w:t>BODY-26001745</w:t>
            </w:r>
          </w:p>
        </w:tc>
        <w:tc>
          <w:tcPr>
            <w:tcW w:type="dxa" w:w="3600"/>
          </w:tcPr>
          <w:p>
            <w:pPr>
              <w:spacing w:after="0" w:before="0" w:line="240" w:lineRule="auto"/>
              <w:jc w:val="left"/>
            </w:pPr>
            <w:r>
              <w:t>Identifies the body</w:t>
            </w:r>
          </w:p>
        </w:tc>
      </w:tr>
      <w:tr>
        <w:tc>
          <w:tcPr>
            <w:tcW w:type="dxa" w:w="3600"/>
          </w:tcPr>
          <w:p>
            <w:pPr>
              <w:spacing w:after="0" w:before="0" w:line="240" w:lineRule="auto"/>
              <w:jc w:val="left"/>
            </w:pPr>
            <w:r>
              <w:t>Station ID</w:t>
            </w:r>
          </w:p>
        </w:tc>
        <w:tc>
          <w:tcPr>
            <w:tcW w:type="dxa" w:w="3600"/>
          </w:tcPr>
          <w:p>
            <w:pPr>
              <w:spacing w:after="0" w:before="0" w:line="240" w:lineRule="auto"/>
              <w:jc w:val="left"/>
            </w:pPr>
            <w:r>
              <w:rPr>
                <w:rFonts w:ascii="Consolas" w:hAnsi="Consolas"/>
                <w:color w:val="333333"/>
                <w:sz w:val="19"/>
                <w:shd w:val="clear" w:color="auto" w:fill="EFEFEF"/>
              </w:rPr>
              <w:t>BIW-ST-025</w:t>
            </w:r>
          </w:p>
        </w:tc>
        <w:tc>
          <w:tcPr>
            <w:tcW w:type="dxa" w:w="3600"/>
          </w:tcPr>
          <w:p>
            <w:pPr>
              <w:spacing w:after="0" w:before="0" w:line="240" w:lineRule="auto"/>
              <w:jc w:val="left"/>
            </w:pPr>
            <w:r>
              <w:t>Identifies the production station</w:t>
            </w:r>
          </w:p>
        </w:tc>
      </w:tr>
      <w:tr>
        <w:tc>
          <w:tcPr>
            <w:tcW w:type="dxa" w:w="3600"/>
          </w:tcPr>
          <w:p>
            <w:pPr>
              <w:spacing w:after="0" w:before="0" w:line="240" w:lineRule="auto"/>
              <w:jc w:val="left"/>
            </w:pPr>
            <w:r>
              <w:t>Operation ID</w:t>
            </w:r>
          </w:p>
        </w:tc>
        <w:tc>
          <w:tcPr>
            <w:tcW w:type="dxa" w:w="3600"/>
          </w:tcPr>
          <w:p>
            <w:pPr>
              <w:spacing w:after="0" w:before="0" w:line="240" w:lineRule="auto"/>
              <w:jc w:val="left"/>
            </w:pPr>
            <w:r>
              <w:rPr>
                <w:rFonts w:ascii="Consolas" w:hAnsi="Consolas"/>
                <w:color w:val="333333"/>
                <w:sz w:val="19"/>
                <w:shd w:val="clear" w:color="auto" w:fill="EFEFEF"/>
              </w:rPr>
              <w:t>WELD-OP-08</w:t>
            </w:r>
          </w:p>
        </w:tc>
        <w:tc>
          <w:tcPr>
            <w:tcW w:type="dxa" w:w="3600"/>
          </w:tcPr>
          <w:p>
            <w:pPr>
              <w:spacing w:after="0" w:before="0" w:line="240" w:lineRule="auto"/>
              <w:jc w:val="left"/>
            </w:pPr>
            <w:r>
              <w:t>Identifies the operation</w:t>
            </w:r>
          </w:p>
        </w:tc>
      </w:tr>
      <w:tr>
        <w:tc>
          <w:tcPr>
            <w:tcW w:type="dxa" w:w="3600"/>
          </w:tcPr>
          <w:p>
            <w:pPr>
              <w:spacing w:after="0" w:before="0" w:line="240" w:lineRule="auto"/>
              <w:jc w:val="left"/>
            </w:pPr>
            <w:r>
              <w:t>Equipment ID</w:t>
            </w:r>
          </w:p>
        </w:tc>
        <w:tc>
          <w:tcPr>
            <w:tcW w:type="dxa" w:w="3600"/>
          </w:tcPr>
          <w:p>
            <w:pPr>
              <w:spacing w:after="0" w:before="0" w:line="240" w:lineRule="auto"/>
              <w:jc w:val="left"/>
            </w:pPr>
            <w:r>
              <w:rPr>
                <w:rFonts w:ascii="Consolas" w:hAnsi="Consolas"/>
                <w:color w:val="333333"/>
                <w:sz w:val="19"/>
                <w:shd w:val="clear" w:color="auto" w:fill="EFEFEF"/>
              </w:rPr>
              <w:t>ROBOT-025-01</w:t>
            </w:r>
          </w:p>
        </w:tc>
        <w:tc>
          <w:tcPr>
            <w:tcW w:type="dxa" w:w="3600"/>
          </w:tcPr>
          <w:p>
            <w:pPr>
              <w:spacing w:after="0" w:before="0" w:line="240" w:lineRule="auto"/>
              <w:jc w:val="left"/>
            </w:pPr>
            <w:r>
              <w:t>Identifies the equipment</w:t>
            </w:r>
          </w:p>
        </w:tc>
      </w:tr>
      <w:tr>
        <w:tc>
          <w:tcPr>
            <w:tcW w:type="dxa" w:w="3600"/>
          </w:tcPr>
          <w:p>
            <w:pPr>
              <w:spacing w:after="0" w:before="0" w:line="240" w:lineRule="auto"/>
              <w:jc w:val="left"/>
            </w:pPr>
            <w:r>
              <w:t>Recipe ID</w:t>
            </w:r>
          </w:p>
        </w:tc>
        <w:tc>
          <w:tcPr>
            <w:tcW w:type="dxa" w:w="3600"/>
          </w:tcPr>
          <w:p>
            <w:pPr>
              <w:spacing w:after="0" w:before="0" w:line="240" w:lineRule="auto"/>
              <w:jc w:val="left"/>
            </w:pPr>
            <w:r>
              <w:rPr>
                <w:rFonts w:ascii="Consolas" w:hAnsi="Consolas"/>
                <w:color w:val="333333"/>
                <w:sz w:val="19"/>
                <w:shd w:val="clear" w:color="auto" w:fill="EFEFEF"/>
              </w:rPr>
              <w:t>WELD-RECIPE-12</w:t>
            </w:r>
          </w:p>
        </w:tc>
        <w:tc>
          <w:tcPr>
            <w:tcW w:type="dxa" w:w="3600"/>
          </w:tcPr>
          <w:p>
            <w:pPr>
              <w:spacing w:after="0" w:before="0" w:line="240" w:lineRule="auto"/>
              <w:jc w:val="left"/>
            </w:pPr>
            <w:r>
              <w:t>Identifies the configured process</w:t>
            </w:r>
          </w:p>
        </w:tc>
      </w:tr>
      <w:tr>
        <w:tc>
          <w:tcPr>
            <w:tcW w:type="dxa" w:w="3600"/>
          </w:tcPr>
          <w:p>
            <w:pPr>
              <w:spacing w:after="0" w:before="0" w:line="240" w:lineRule="auto"/>
              <w:jc w:val="left"/>
            </w:pPr>
            <w:r>
              <w:t>Result</w:t>
            </w:r>
          </w:p>
        </w:tc>
        <w:tc>
          <w:tcPr>
            <w:tcW w:type="dxa" w:w="3600"/>
          </w:tcPr>
          <w:p>
            <w:pPr>
              <w:spacing w:after="0" w:before="0" w:line="240" w:lineRule="auto"/>
              <w:jc w:val="left"/>
            </w:pPr>
            <w:r>
              <w:rPr>
                <w:rFonts w:ascii="Consolas" w:hAnsi="Consolas"/>
                <w:color w:val="333333"/>
                <w:sz w:val="19"/>
                <w:shd w:val="clear" w:color="auto" w:fill="EFEFEF"/>
              </w:rPr>
              <w:t>PASS</w:t>
            </w:r>
          </w:p>
        </w:tc>
        <w:tc>
          <w:tcPr>
            <w:tcW w:type="dxa" w:w="3600"/>
          </w:tcPr>
          <w:p>
            <w:pPr>
              <w:spacing w:after="0" w:before="0" w:line="240" w:lineRule="auto"/>
              <w:jc w:val="left"/>
            </w:pPr>
            <w:r>
              <w:t>Records the outcome</w:t>
            </w:r>
          </w:p>
        </w:tc>
      </w:tr>
      <w:tr>
        <w:tc>
          <w:tcPr>
            <w:tcW w:type="dxa" w:w="3600"/>
          </w:tcPr>
          <w:p>
            <w:pPr>
              <w:spacing w:after="0" w:before="0" w:line="240" w:lineRule="auto"/>
              <w:jc w:val="left"/>
            </w:pPr>
            <w:r>
              <w:t>Timestamp</w:t>
            </w:r>
          </w:p>
        </w:tc>
        <w:tc>
          <w:tcPr>
            <w:tcW w:type="dxa" w:w="3600"/>
          </w:tcPr>
          <w:p>
            <w:pPr>
              <w:spacing w:after="0" w:before="0" w:line="240" w:lineRule="auto"/>
              <w:jc w:val="left"/>
            </w:pPr>
            <w:r>
              <w:rPr>
                <w:rFonts w:ascii="Consolas" w:hAnsi="Consolas"/>
                <w:color w:val="333333"/>
                <w:sz w:val="19"/>
                <w:shd w:val="clear" w:color="auto" w:fill="EFEFEF"/>
              </w:rPr>
              <w:t>2026-10-17T10:15:30+05:30</w:t>
            </w:r>
          </w:p>
        </w:tc>
        <w:tc>
          <w:tcPr>
            <w:tcW w:type="dxa" w:w="3600"/>
          </w:tcPr>
          <w:p>
            <w:pPr>
              <w:spacing w:after="0" w:before="0" w:line="240" w:lineRule="auto"/>
              <w:jc w:val="left"/>
            </w:pPr>
            <w:r>
              <w:t>Records the event time and offset</w:t>
            </w:r>
          </w:p>
        </w:tc>
      </w:tr>
      <w:tr>
        <w:tc>
          <w:tcPr>
            <w:tcW w:type="dxa" w:w="3600"/>
          </w:tcPr>
          <w:p>
            <w:pPr>
              <w:spacing w:after="0" w:before="0" w:line="240" w:lineRule="auto"/>
              <w:jc w:val="left"/>
            </w:pPr>
            <w:r>
              <w:t>Event ID</w:t>
            </w:r>
          </w:p>
        </w:tc>
        <w:tc>
          <w:tcPr>
            <w:tcW w:type="dxa" w:w="3600"/>
          </w:tcPr>
          <w:p>
            <w:pPr>
              <w:spacing w:after="0" w:before="0" w:line="240" w:lineRule="auto"/>
              <w:jc w:val="left"/>
            </w:pPr>
            <w:r>
              <w:rPr>
                <w:rFonts w:ascii="Consolas" w:hAnsi="Consolas"/>
                <w:color w:val="333333"/>
                <w:sz w:val="19"/>
                <w:shd w:val="clear" w:color="auto" w:fill="EFEFEF"/>
              </w:rPr>
              <w:t>EVT-8F231</w:t>
            </w:r>
          </w:p>
        </w:tc>
        <w:tc>
          <w:tcPr>
            <w:tcW w:type="dxa" w:w="3600"/>
          </w:tcPr>
          <w:p>
            <w:pPr>
              <w:spacing w:after="0" w:before="0" w:line="240" w:lineRule="auto"/>
              <w:jc w:val="left"/>
            </w:pPr>
            <w:r>
              <w:t>Identifies the individual event</w:t>
            </w:r>
          </w:p>
        </w:tc>
      </w:tr>
      <w:tr>
        <w:tc>
          <w:tcPr>
            <w:tcW w:type="dxa" w:w="3600"/>
          </w:tcPr>
          <w:p>
            <w:pPr>
              <w:spacing w:after="0" w:before="0" w:line="240" w:lineRule="auto"/>
              <w:jc w:val="left"/>
            </w:pPr>
            <w:r>
              <w:t>Quality status</w:t>
            </w:r>
          </w:p>
        </w:tc>
        <w:tc>
          <w:tcPr>
            <w:tcW w:type="dxa" w:w="3600"/>
          </w:tcPr>
          <w:p>
            <w:pPr>
              <w:spacing w:after="0" w:before="0" w:line="240" w:lineRule="auto"/>
              <w:jc w:val="left"/>
            </w:pPr>
            <w:r>
              <w:rPr>
                <w:rFonts w:ascii="Consolas" w:hAnsi="Consolas"/>
                <w:color w:val="333333"/>
                <w:sz w:val="19"/>
                <w:shd w:val="clear" w:color="auto" w:fill="EFEFEF"/>
              </w:rPr>
              <w:t>ACCEPTED</w:t>
            </w:r>
          </w:p>
        </w:tc>
        <w:tc>
          <w:tcPr>
            <w:tcW w:type="dxa" w:w="3600"/>
          </w:tcPr>
          <w:p>
            <w:pPr>
              <w:spacing w:after="0" w:before="0" w:line="240" w:lineRule="auto"/>
              <w:jc w:val="left"/>
            </w:pPr>
            <w:r>
              <w:t>Records the defined quality disposition</w:t>
            </w:r>
          </w:p>
        </w:tc>
      </w:tr>
    </w:tbl>
    <w:p/>
    <w:p>
      <w:r>
        <w:t>These values are illustrative. Actual identifiers and formats must follow the plant's established naming and data standards.</w:t>
      </w:r>
    </w:p>
    <w:p>
      <w:pPr>
        <w:pStyle w:val="Heading3"/>
      </w:pPr>
      <w:r>
        <w:t>6.3 Event-based data model</w:t>
      </w:r>
    </w:p>
    <w:p>
      <w:r>
        <w:t>A useful general model is:</w:t>
      </w:r>
    </w:p>
    <w:p>
      <w:pPr>
        <w:shd w:val="clear" w:color="auto" w:fill="F4F4F4"/>
        <w:spacing w:before="0" w:after="0" w:line="240" w:lineRule="auto"/>
        <w:ind w:left="216" w:right="216"/>
        <w:jc w:val="left"/>
      </w:pPr>
      <w:r>
        <w:rPr>
          <w:rFonts w:ascii="Consolas" w:hAnsi="Consolas"/>
          <w:color w:val="202020"/>
          <w:sz w:val="18"/>
        </w:rPr>
        <w:t>ENTITY</w:t>
      </w:r>
    </w:p>
    <w:p>
      <w:pPr>
        <w:shd w:val="clear" w:color="auto" w:fill="F4F4F4"/>
        <w:spacing w:before="0" w:after="0" w:line="240" w:lineRule="auto"/>
        <w:ind w:left="216" w:right="216"/>
        <w:jc w:val="left"/>
      </w:pPr>
      <w:r>
        <w:rPr>
          <w:rFonts w:ascii="Consolas" w:hAnsi="Consolas"/>
          <w:color w:val="202020"/>
          <w:sz w:val="18"/>
        </w:rPr>
        <w:t xml:space="preserve">  → Product / Component / Carrier / Equipment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EVENT</w:t>
      </w:r>
    </w:p>
    <w:p>
      <w:pPr>
        <w:shd w:val="clear" w:color="auto" w:fill="F4F4F4"/>
        <w:spacing w:before="0" w:after="0" w:line="240" w:lineRule="auto"/>
        <w:ind w:left="216" w:right="216"/>
        <w:jc w:val="left"/>
      </w:pPr>
      <w:r>
        <w:rPr>
          <w:rFonts w:ascii="Consolas" w:hAnsi="Consolas"/>
          <w:color w:val="202020"/>
          <w:sz w:val="18"/>
        </w:rPr>
        <w:t xml:space="preserve">  → Product ID + Station ID + Operation ID + Timestamp</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RESULT</w:t>
      </w:r>
    </w:p>
    <w:p>
      <w:pPr>
        <w:shd w:val="clear" w:color="auto" w:fill="F4F4F4"/>
        <w:spacing w:before="0" w:after="0" w:line="240" w:lineRule="auto"/>
        <w:ind w:left="216" w:right="216"/>
        <w:jc w:val="left"/>
      </w:pPr>
      <w:r>
        <w:rPr>
          <w:rFonts w:ascii="Consolas" w:hAnsi="Consolas"/>
          <w:color w:val="202020"/>
          <w:sz w:val="18"/>
        </w:rPr>
        <w:t xml:space="preserve">  → Event ID + Result status + Measurements + Error details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CONFIGURATION</w:t>
      </w:r>
    </w:p>
    <w:p>
      <w:pPr>
        <w:shd w:val="clear" w:color="auto" w:fill="F4F4F4"/>
        <w:spacing w:before="0" w:after="0" w:line="240" w:lineRule="auto"/>
        <w:ind w:left="216" w:right="216"/>
        <w:jc w:val="left"/>
      </w:pPr>
      <w:r>
        <w:rPr>
          <w:rFonts w:ascii="Consolas" w:hAnsi="Consolas"/>
          <w:color w:val="202020"/>
          <w:sz w:val="18"/>
        </w:rPr>
        <w:t xml:space="preserve">  → Recipe ID + Revision + Approval status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GENEALOGY</w:t>
      </w:r>
    </w:p>
    <w:p>
      <w:pPr>
        <w:shd w:val="clear" w:color="auto" w:fill="F4F4F4"/>
        <w:spacing w:before="0" w:after="0" w:line="240" w:lineRule="auto"/>
        <w:ind w:left="216" w:right="216"/>
        <w:jc w:val="left"/>
      </w:pPr>
      <w:r>
        <w:rPr>
          <w:rFonts w:ascii="Consolas" w:hAnsi="Consolas"/>
          <w:color w:val="202020"/>
          <w:sz w:val="18"/>
        </w:rPr>
        <w:t xml:space="preserve">  → Parent entity ID + Child entity ID + Relationship</w:t>
      </w:r>
    </w:p>
    <w:p/>
    <w:p>
      <w:r>
        <w:t>An event should be distinguishable from its result. For example, a tightening attempt can occur and then fail. The event still exists even though its result is NOK.</w:t>
      </w:r>
    </w:p>
    <w:p>
      <w:pPr>
        <w:pStyle w:val="Heading2"/>
      </w:pPr>
      <w:r>
        <w:t>7. PLC-level tracking and station logic</w:t>
      </w:r>
    </w:p>
    <w:p>
      <w:r>
        <w:t>At station level, the PLC may manage product identity, station entry, process initiation, result validation, and product release.</w:t>
      </w:r>
    </w:p>
    <w:p>
      <w:r>
        <w:t>A typical sequence is:</w:t>
      </w:r>
    </w:p>
    <w:p>
      <w:pPr>
        <w:shd w:val="clear" w:color="auto" w:fill="F4F4F4"/>
        <w:spacing w:before="0" w:after="0" w:line="240" w:lineRule="auto"/>
        <w:ind w:left="216" w:right="216"/>
        <w:jc w:val="left"/>
      </w:pPr>
      <w:r>
        <w:rPr>
          <w:rFonts w:ascii="Consolas" w:hAnsi="Consolas"/>
          <w:color w:val="202020"/>
          <w:sz w:val="18"/>
        </w:rPr>
        <w:t>Body enters station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Read or receive product identity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Validate identity and station route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Select required variant and process recipe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Execute station operation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Collect process result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Validate result and identity association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Record or transmit the event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Release, hold, reject, or route according to logic</w:t>
      </w:r>
    </w:p>
    <w:p/>
    <w:p>
      <w:pPr>
        <w:pStyle w:val="Heading3"/>
      </w:pPr>
      <w:r>
        <w:t>7.1 Important PLC considerations</w:t>
      </w:r>
    </w:p>
    <w:p>
      <w:pPr>
        <w:pStyle w:val="ListBullet"/>
      </w:pPr>
      <w:r>
        <w:t>Confirm the identity belongs to the body physically present.</w:t>
      </w:r>
    </w:p>
    <w:p>
      <w:pPr>
        <w:pStyle w:val="ListBullet"/>
      </w:pPr>
      <w:r>
        <w:t>Prevent an old identity from being reused for the next body.</w:t>
      </w:r>
    </w:p>
    <w:p>
      <w:pPr>
        <w:pStyle w:val="ListBullet"/>
      </w:pPr>
      <w:r>
        <w:t>Validate that the selected recipe matches the required variant.</w:t>
      </w:r>
    </w:p>
    <w:p>
      <w:pPr>
        <w:pStyle w:val="ListBullet"/>
      </w:pPr>
      <w:r>
        <w:t>Define what happens when identification fails.</w:t>
      </w:r>
    </w:p>
    <w:p>
      <w:pPr>
        <w:pStyle w:val="ListBullet"/>
      </w:pPr>
      <w:r>
        <w:t>Define behavior when the database or MES is unavailable.</w:t>
      </w:r>
    </w:p>
    <w:p>
      <w:pPr>
        <w:pStyle w:val="ListBullet"/>
      </w:pPr>
      <w:r>
        <w:t>Avoid duplicate event generation during retries.</w:t>
      </w:r>
    </w:p>
    <w:p>
      <w:pPr>
        <w:pStyle w:val="ListBullet"/>
      </w:pPr>
      <w:r>
        <w:t>Ensure station release criteria include all required process results.</w:t>
      </w:r>
    </w:p>
    <w:p>
      <w:pPr>
        <w:pStyle w:val="ListBullet"/>
      </w:pPr>
      <w:r>
        <w:t>Retain enough diagnostic information to identify the failed stage.</w:t>
      </w:r>
    </w:p>
    <w:p>
      <w:r>
        <w:t>A PLC memory value containing a serial number is not sufficient proof that the value belongs to the current body. Identity must be tied to the physical tracking sequence and validated transitions.</w:t>
      </w:r>
    </w:p>
    <w:p>
      <w:pPr>
        <w:pStyle w:val="Heading2"/>
      </w:pPr>
      <w:r>
        <w:t>8. Integration with BIW equipment</w:t>
      </w:r>
    </w:p>
    <w:p>
      <w:pPr>
        <w:pStyle w:val="Heading3"/>
      </w:pPr>
      <w:r>
        <w:t>8.1 Welding robots and weld controllers</w:t>
      </w:r>
    </w:p>
    <w:p>
      <w:r>
        <w:t>Relevant records may include robot and controller identity, station and weld-program information, operation status, alarms, and approved process parameters.</w:t>
      </w:r>
    </w:p>
    <w:p>
      <w:r>
        <w:t>Where individual weld traceability is required, the data model should identify the relevant weld or weld group and preserve its result. A robot cycle-complete signal alone does not prove that every required weld was acceptable.</w:t>
      </w:r>
    </w:p>
    <w:p>
      <w:pPr>
        <w:pStyle w:val="Heading3"/>
      </w:pPr>
      <w:r>
        <w:t>8.2 Vision systems</w:t>
      </w:r>
    </w:p>
    <w:p>
      <w:r>
        <w:t>Records may include inspection identity, inspection recipe, image or image reference, measurements, acceptance result, and invalid-image status.</w:t>
      </w:r>
    </w:p>
    <w:p>
      <w:r>
        <w:t xml:space="preserve">A vision </w:t>
      </w:r>
      <w:r>
        <w:rPr>
          <w:rFonts w:ascii="Consolas" w:hAnsi="Consolas"/>
          <w:color w:val="333333"/>
          <w:sz w:val="19"/>
          <w:shd w:val="clear" w:color="auto" w:fill="EFEFEF"/>
        </w:rPr>
        <w:t>PASS</w:t>
      </w:r>
      <w:r>
        <w:t xml:space="preserve"> must be associated with the correct body and inspection event. A stale result from a previous body must never be treated as the current inspection result.</w:t>
      </w:r>
    </w:p>
    <w:p>
      <w:pPr>
        <w:pStyle w:val="Heading3"/>
      </w:pPr>
      <w:r>
        <w:t>8.3 Nutrunner systems</w:t>
      </w:r>
    </w:p>
    <w:p>
      <w:r>
        <w:t>Records may include fastening-point ID, tool or spindle ID, program ID, actual torque, angle where available, result status, and cycle identifier.</w:t>
      </w:r>
    </w:p>
    <w:p>
      <w:r>
        <w:t xml:space="preserve">The system must preserve individual fastening outcomes when the application requires every joint to be traceable. A single station-level </w:t>
      </w:r>
      <w:r>
        <w:rPr>
          <w:rFonts w:ascii="Consolas" w:hAnsi="Consolas"/>
          <w:color w:val="333333"/>
          <w:sz w:val="19"/>
          <w:shd w:val="clear" w:color="auto" w:fill="EFEFEF"/>
        </w:rPr>
        <w:t>PASS</w:t>
      </w:r>
      <w:r>
        <w:t xml:space="preserve"> may be insufficient if it hides missing fastening points.</w:t>
      </w:r>
    </w:p>
    <w:p>
      <w:pPr>
        <w:pStyle w:val="Heading3"/>
      </w:pPr>
      <w:r>
        <w:t>8.4 Conveyors, carriers, and fixtures</w:t>
      </w:r>
    </w:p>
    <w:p>
      <w:r>
        <w:t>Records may capture body movement, carrier association, station entry and exit, transfer completion, and route changes.</w:t>
      </w:r>
    </w:p>
    <w:p>
      <w:r>
        <w:t>When a body moves from one carrier to another, the association should be updated through a controlled transaction. The system must not assume that the body ID and carrier ID are permanently identical.</w:t>
      </w:r>
    </w:p>
    <w:p>
      <w:pPr>
        <w:pStyle w:val="Heading2"/>
      </w:pPr>
      <w:r>
        <w:t>9. MES, SCADA, databases, and ERP</w:t>
      </w:r>
    </w:p>
    <w:p>
      <w:r>
        <w:t>These systems have different responsibilities, even when they exchange overlapping data.</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System</w:t>
            </w:r>
          </w:p>
        </w:tc>
        <w:tc>
          <w:tcPr>
            <w:tcW w:type="dxa" w:w="3600"/>
            <w:shd w:val="clear" w:color="auto" w:fill="EEF2F7"/>
          </w:tcPr>
          <w:p>
            <w:pPr>
              <w:spacing w:after="0" w:before="0" w:line="240" w:lineRule="auto"/>
              <w:jc w:val="left"/>
            </w:pPr>
            <w:r>
              <w:rPr>
                <w:b/>
                <w:color w:val="1A2E4A"/>
              </w:rPr>
              <w:t>Typical role</w:t>
            </w:r>
          </w:p>
        </w:tc>
        <w:tc>
          <w:tcPr>
            <w:tcW w:type="dxa" w:w="3600"/>
            <w:shd w:val="clear" w:color="auto" w:fill="EEF2F7"/>
          </w:tcPr>
          <w:p>
            <w:pPr>
              <w:spacing w:after="0" w:before="0" w:line="240" w:lineRule="auto"/>
              <w:jc w:val="left"/>
            </w:pPr>
            <w:r>
              <w:rPr>
                <w:b/>
                <w:color w:val="1A2E4A"/>
              </w:rPr>
              <w:t>Traceability contribution</w:t>
            </w:r>
          </w:p>
        </w:tc>
      </w:tr>
      <w:tr>
        <w:tc>
          <w:tcPr>
            <w:tcW w:type="dxa" w:w="3600"/>
          </w:tcPr>
          <w:p>
            <w:pPr>
              <w:spacing w:after="0" w:before="0" w:line="240" w:lineRule="auto"/>
              <w:jc w:val="left"/>
            </w:pPr>
            <w:r>
              <w:t>PLC</w:t>
            </w:r>
          </w:p>
        </w:tc>
        <w:tc>
          <w:tcPr>
            <w:tcW w:type="dxa" w:w="3600"/>
          </w:tcPr>
          <w:p>
            <w:pPr>
              <w:spacing w:after="0" w:before="0" w:line="240" w:lineRule="auto"/>
              <w:jc w:val="left"/>
            </w:pPr>
            <w:r>
              <w:t>Real-time machine control</w:t>
            </w:r>
          </w:p>
        </w:tc>
        <w:tc>
          <w:tcPr>
            <w:tcW w:type="dxa" w:w="3600"/>
          </w:tcPr>
          <w:p>
            <w:pPr>
              <w:spacing w:after="0" w:before="0" w:line="240" w:lineRule="auto"/>
              <w:jc w:val="left"/>
            </w:pPr>
            <w:r>
              <w:t>Station sequence, interlocks, process status</w:t>
            </w:r>
          </w:p>
        </w:tc>
      </w:tr>
      <w:tr>
        <w:tc>
          <w:tcPr>
            <w:tcW w:type="dxa" w:w="3600"/>
          </w:tcPr>
          <w:p>
            <w:pPr>
              <w:spacing w:after="0" w:before="0" w:line="240" w:lineRule="auto"/>
              <w:jc w:val="left"/>
            </w:pPr>
            <w:r>
              <w:t>Robot or tool controller</w:t>
            </w:r>
          </w:p>
        </w:tc>
        <w:tc>
          <w:tcPr>
            <w:tcW w:type="dxa" w:w="3600"/>
          </w:tcPr>
          <w:p>
            <w:pPr>
              <w:spacing w:after="0" w:before="0" w:line="240" w:lineRule="auto"/>
              <w:jc w:val="left"/>
            </w:pPr>
            <w:r>
              <w:t>Executes specialized process</w:t>
            </w:r>
          </w:p>
        </w:tc>
        <w:tc>
          <w:tcPr>
            <w:tcW w:type="dxa" w:w="3600"/>
          </w:tcPr>
          <w:p>
            <w:pPr>
              <w:spacing w:after="0" w:before="0" w:line="240" w:lineRule="auto"/>
              <w:jc w:val="left"/>
            </w:pPr>
            <w:r>
              <w:t>Process parameters and operation results</w:t>
            </w:r>
          </w:p>
        </w:tc>
      </w:tr>
      <w:tr>
        <w:tc>
          <w:tcPr>
            <w:tcW w:type="dxa" w:w="3600"/>
          </w:tcPr>
          <w:p>
            <w:pPr>
              <w:spacing w:after="0" w:before="0" w:line="240" w:lineRule="auto"/>
              <w:jc w:val="left"/>
            </w:pPr>
            <w:r>
              <w:t>SCADA or industrial data service</w:t>
            </w:r>
          </w:p>
        </w:tc>
        <w:tc>
          <w:tcPr>
            <w:tcW w:type="dxa" w:w="3600"/>
          </w:tcPr>
          <w:p>
            <w:pPr>
              <w:spacing w:after="0" w:before="0" w:line="240" w:lineRule="auto"/>
              <w:jc w:val="left"/>
            </w:pPr>
            <w:r>
              <w:t>Monitoring and data collection</w:t>
            </w:r>
          </w:p>
        </w:tc>
        <w:tc>
          <w:tcPr>
            <w:tcW w:type="dxa" w:w="3600"/>
          </w:tcPr>
          <w:p>
            <w:pPr>
              <w:spacing w:after="0" w:before="0" w:line="240" w:lineRule="auto"/>
              <w:jc w:val="left"/>
            </w:pPr>
            <w:r>
              <w:t>Equipment events, trends, and operational visibility</w:t>
            </w:r>
          </w:p>
        </w:tc>
      </w:tr>
      <w:tr>
        <w:tc>
          <w:tcPr>
            <w:tcW w:type="dxa" w:w="3600"/>
          </w:tcPr>
          <w:p>
            <w:pPr>
              <w:spacing w:after="0" w:before="0" w:line="240" w:lineRule="auto"/>
              <w:jc w:val="left"/>
            </w:pPr>
            <w:r>
              <w:t>MES</w:t>
            </w:r>
          </w:p>
        </w:tc>
        <w:tc>
          <w:tcPr>
            <w:tcW w:type="dxa" w:w="3600"/>
          </w:tcPr>
          <w:p>
            <w:pPr>
              <w:spacing w:after="0" w:before="0" w:line="240" w:lineRule="auto"/>
              <w:jc w:val="left"/>
            </w:pPr>
            <w:r>
              <w:t>Manufacturing execution and production tracking</w:t>
            </w:r>
          </w:p>
        </w:tc>
        <w:tc>
          <w:tcPr>
            <w:tcW w:type="dxa" w:w="3600"/>
          </w:tcPr>
          <w:p>
            <w:pPr>
              <w:spacing w:after="0" w:before="0" w:line="240" w:lineRule="auto"/>
              <w:jc w:val="left"/>
            </w:pPr>
            <w:r>
              <w:t>Work-in-process, routing, production genealogy, quality records</w:t>
            </w:r>
          </w:p>
        </w:tc>
      </w:tr>
      <w:tr>
        <w:tc>
          <w:tcPr>
            <w:tcW w:type="dxa" w:w="3600"/>
          </w:tcPr>
          <w:p>
            <w:pPr>
              <w:spacing w:after="0" w:before="0" w:line="240" w:lineRule="auto"/>
              <w:jc w:val="left"/>
            </w:pPr>
            <w:r>
              <w:t>SQL database</w:t>
            </w:r>
          </w:p>
        </w:tc>
        <w:tc>
          <w:tcPr>
            <w:tcW w:type="dxa" w:w="3600"/>
          </w:tcPr>
          <w:p>
            <w:pPr>
              <w:spacing w:after="0" w:before="0" w:line="240" w:lineRule="auto"/>
              <w:jc w:val="left"/>
            </w:pPr>
            <w:r>
              <w:t>Persistent structured data storage</w:t>
            </w:r>
          </w:p>
        </w:tc>
        <w:tc>
          <w:tcPr>
            <w:tcW w:type="dxa" w:w="3600"/>
          </w:tcPr>
          <w:p>
            <w:pPr>
              <w:spacing w:after="0" w:before="0" w:line="240" w:lineRule="auto"/>
              <w:jc w:val="left"/>
            </w:pPr>
            <w:r>
              <w:t>Events, measurements, results, and relationships</w:t>
            </w:r>
          </w:p>
        </w:tc>
      </w:tr>
      <w:tr>
        <w:tc>
          <w:tcPr>
            <w:tcW w:type="dxa" w:w="3600"/>
          </w:tcPr>
          <w:p>
            <w:pPr>
              <w:spacing w:after="0" w:before="0" w:line="240" w:lineRule="auto"/>
              <w:jc w:val="left"/>
            </w:pPr>
            <w:r>
              <w:t>ERP</w:t>
            </w:r>
          </w:p>
        </w:tc>
        <w:tc>
          <w:tcPr>
            <w:tcW w:type="dxa" w:w="3600"/>
          </w:tcPr>
          <w:p>
            <w:pPr>
              <w:spacing w:after="0" w:before="0" w:line="240" w:lineRule="auto"/>
              <w:jc w:val="left"/>
            </w:pPr>
            <w:r>
              <w:t>Enterprise resource and production planning</w:t>
            </w:r>
          </w:p>
        </w:tc>
        <w:tc>
          <w:tcPr>
            <w:tcW w:type="dxa" w:w="3600"/>
          </w:tcPr>
          <w:p>
            <w:pPr>
              <w:spacing w:after="0" w:before="0" w:line="240" w:lineRule="auto"/>
              <w:jc w:val="left"/>
            </w:pPr>
            <w:r>
              <w:t>Product orders, material lots, production orders, and enterprise identifiers</w:t>
            </w:r>
          </w:p>
        </w:tc>
      </w:tr>
      <w:tr>
        <w:tc>
          <w:tcPr>
            <w:tcW w:type="dxa" w:w="3600"/>
          </w:tcPr>
          <w:p>
            <w:pPr>
              <w:spacing w:after="0" w:before="0" w:line="240" w:lineRule="auto"/>
              <w:jc w:val="left"/>
            </w:pPr>
            <w:r>
              <w:t>BI/reporting platform</w:t>
            </w:r>
          </w:p>
        </w:tc>
        <w:tc>
          <w:tcPr>
            <w:tcW w:type="dxa" w:w="3600"/>
          </w:tcPr>
          <w:p>
            <w:pPr>
              <w:spacing w:after="0" w:before="0" w:line="240" w:lineRule="auto"/>
              <w:jc w:val="left"/>
            </w:pPr>
            <w:r>
              <w:t>Analysis and visualization</w:t>
            </w:r>
          </w:p>
        </w:tc>
        <w:tc>
          <w:tcPr>
            <w:tcW w:type="dxa" w:w="3600"/>
          </w:tcPr>
          <w:p>
            <w:pPr>
              <w:spacing w:after="0" w:before="0" w:line="240" w:lineRule="auto"/>
              <w:jc w:val="left"/>
            </w:pPr>
            <w:r>
              <w:t>Quality trends, defect patterns, traceability completeness</w:t>
            </w:r>
          </w:p>
        </w:tc>
      </w:tr>
    </w:tbl>
    <w:p/>
    <w:p>
      <w:r>
        <w:t>The exact division of responsibilities varies by plant architecture. A SQL database does not automatically provide complete traceability simply because it stores a large number of machine tags.</w:t>
      </w:r>
    </w:p>
    <w:p>
      <w:r>
        <w:t>Traceability depends on the integrity of relationships between identities, operations, and results.</w:t>
      </w:r>
    </w:p>
    <w:p>
      <w:pPr>
        <w:pStyle w:val="Heading2"/>
      </w:pPr>
      <w:r>
        <w:t>10. Database design principles</w:t>
      </w:r>
    </w:p>
    <w:p>
      <w:r>
        <w:t>A traceability database should preserve event identity, relationships, timestamps, and result history.</w:t>
      </w:r>
    </w:p>
    <w:p>
      <w:pPr>
        <w:pStyle w:val="Heading3"/>
      </w:pPr>
      <w:r>
        <w:t>10.1 Recommended logical tables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Table</w:t>
            </w:r>
          </w:p>
        </w:tc>
        <w:tc>
          <w:tcPr>
            <w:tcW w:type="dxa" w:w="5400"/>
            <w:shd w:val="clear" w:color="auto" w:fill="EEF2F7"/>
          </w:tcPr>
          <w:p>
            <w:pPr>
              <w:spacing w:after="0" w:before="0" w:line="240" w:lineRule="auto"/>
              <w:jc w:val="left"/>
            </w:pPr>
            <w:r>
              <w:rPr>
                <w:b/>
                <w:color w:val="1A2E4A"/>
              </w:rPr>
              <w:t>Typical purpose</w:t>
            </w:r>
          </w:p>
        </w:tc>
      </w:tr>
      <w:tr>
        <w:tc>
          <w:tcPr>
            <w:tcW w:type="dxa" w:w="5400"/>
          </w:tcPr>
          <w:p>
            <w:pPr>
              <w:spacing w:after="0" w:before="0" w:line="240" w:lineRule="auto"/>
              <w:jc w:val="left"/>
            </w:pPr>
            <w:r>
              <w:rPr>
                <w:rFonts w:ascii="Consolas" w:hAnsi="Consolas"/>
                <w:color w:val="333333"/>
                <w:sz w:val="19"/>
                <w:shd w:val="clear" w:color="auto" w:fill="EFEFEF"/>
              </w:rPr>
              <w:t>PRODUCT</w:t>
            </w:r>
          </w:p>
        </w:tc>
        <w:tc>
          <w:tcPr>
            <w:tcW w:type="dxa" w:w="5400"/>
          </w:tcPr>
          <w:p>
            <w:pPr>
              <w:spacing w:after="0" w:before="0" w:line="240" w:lineRule="auto"/>
              <w:jc w:val="left"/>
            </w:pPr>
            <w:r>
              <w:t>Product or body identities</w:t>
            </w:r>
          </w:p>
        </w:tc>
      </w:tr>
      <w:tr>
        <w:tc>
          <w:tcPr>
            <w:tcW w:type="dxa" w:w="5400"/>
          </w:tcPr>
          <w:p>
            <w:pPr>
              <w:spacing w:after="0" w:before="0" w:line="240" w:lineRule="auto"/>
              <w:jc w:val="left"/>
            </w:pPr>
            <w:r>
              <w:rPr>
                <w:rFonts w:ascii="Consolas" w:hAnsi="Consolas"/>
                <w:color w:val="333333"/>
                <w:sz w:val="19"/>
                <w:shd w:val="clear" w:color="auto" w:fill="EFEFEF"/>
              </w:rPr>
              <w:t>COMPONENT</w:t>
            </w:r>
          </w:p>
        </w:tc>
        <w:tc>
          <w:tcPr>
            <w:tcW w:type="dxa" w:w="5400"/>
          </w:tcPr>
          <w:p>
            <w:pPr>
              <w:spacing w:after="0" w:before="0" w:line="240" w:lineRule="auto"/>
              <w:jc w:val="left"/>
            </w:pPr>
            <w:r>
              <w:t>Component identities and relevant attributes</w:t>
            </w:r>
          </w:p>
        </w:tc>
      </w:tr>
      <w:tr>
        <w:tc>
          <w:tcPr>
            <w:tcW w:type="dxa" w:w="5400"/>
          </w:tcPr>
          <w:p>
            <w:pPr>
              <w:spacing w:after="0" w:before="0" w:line="240" w:lineRule="auto"/>
              <w:jc w:val="left"/>
            </w:pPr>
            <w:r>
              <w:rPr>
                <w:rFonts w:ascii="Consolas" w:hAnsi="Consolas"/>
                <w:color w:val="333333"/>
                <w:sz w:val="19"/>
                <w:shd w:val="clear" w:color="auto" w:fill="EFEFEF"/>
              </w:rPr>
              <w:t>GENEALOGY</w:t>
            </w:r>
          </w:p>
        </w:tc>
        <w:tc>
          <w:tcPr>
            <w:tcW w:type="dxa" w:w="5400"/>
          </w:tcPr>
          <w:p>
            <w:pPr>
              <w:spacing w:after="0" w:before="0" w:line="240" w:lineRule="auto"/>
              <w:jc w:val="left"/>
            </w:pPr>
            <w:r>
              <w:t>Parent-child relationships</w:t>
            </w:r>
          </w:p>
        </w:tc>
      </w:tr>
      <w:tr>
        <w:tc>
          <w:tcPr>
            <w:tcW w:type="dxa" w:w="5400"/>
          </w:tcPr>
          <w:p>
            <w:pPr>
              <w:spacing w:after="0" w:before="0" w:line="240" w:lineRule="auto"/>
              <w:jc w:val="left"/>
            </w:pPr>
            <w:r>
              <w:rPr>
                <w:rFonts w:ascii="Consolas" w:hAnsi="Consolas"/>
                <w:color w:val="333333"/>
                <w:sz w:val="19"/>
                <w:shd w:val="clear" w:color="auto" w:fill="EFEFEF"/>
              </w:rPr>
              <w:t>STATION</w:t>
            </w:r>
          </w:p>
        </w:tc>
        <w:tc>
          <w:tcPr>
            <w:tcW w:type="dxa" w:w="5400"/>
          </w:tcPr>
          <w:p>
            <w:pPr>
              <w:spacing w:after="0" w:before="0" w:line="240" w:lineRule="auto"/>
              <w:jc w:val="left"/>
            </w:pPr>
            <w:r>
              <w:t>Station master data</w:t>
            </w:r>
          </w:p>
        </w:tc>
      </w:tr>
      <w:tr>
        <w:tc>
          <w:tcPr>
            <w:tcW w:type="dxa" w:w="5400"/>
          </w:tcPr>
          <w:p>
            <w:pPr>
              <w:spacing w:after="0" w:before="0" w:line="240" w:lineRule="auto"/>
              <w:jc w:val="left"/>
            </w:pPr>
            <w:r>
              <w:rPr>
                <w:rFonts w:ascii="Consolas" w:hAnsi="Consolas"/>
                <w:color w:val="333333"/>
                <w:sz w:val="19"/>
                <w:shd w:val="clear" w:color="auto" w:fill="EFEFEF"/>
              </w:rPr>
              <w:t>EQUIPMENT</w:t>
            </w:r>
          </w:p>
        </w:tc>
        <w:tc>
          <w:tcPr>
            <w:tcW w:type="dxa" w:w="5400"/>
          </w:tcPr>
          <w:p>
            <w:pPr>
              <w:spacing w:after="0" w:before="0" w:line="240" w:lineRule="auto"/>
              <w:jc w:val="left"/>
            </w:pPr>
            <w:r>
              <w:t>Equipment identifiers and metadata</w:t>
            </w:r>
          </w:p>
        </w:tc>
      </w:tr>
      <w:tr>
        <w:tc>
          <w:tcPr>
            <w:tcW w:type="dxa" w:w="5400"/>
          </w:tcPr>
          <w:p>
            <w:pPr>
              <w:spacing w:after="0" w:before="0" w:line="240" w:lineRule="auto"/>
              <w:jc w:val="left"/>
            </w:pPr>
            <w:r>
              <w:rPr>
                <w:rFonts w:ascii="Consolas" w:hAnsi="Consolas"/>
                <w:color w:val="333333"/>
                <w:sz w:val="19"/>
                <w:shd w:val="clear" w:color="auto" w:fill="EFEFEF"/>
              </w:rPr>
              <w:t>PROCESS_EVENT</w:t>
            </w:r>
          </w:p>
        </w:tc>
        <w:tc>
          <w:tcPr>
            <w:tcW w:type="dxa" w:w="5400"/>
          </w:tcPr>
          <w:p>
            <w:pPr>
              <w:spacing w:after="0" w:before="0" w:line="240" w:lineRule="auto"/>
              <w:jc w:val="left"/>
            </w:pPr>
            <w:r>
              <w:t>Individual process operations</w:t>
            </w:r>
          </w:p>
        </w:tc>
      </w:tr>
      <w:tr>
        <w:tc>
          <w:tcPr>
            <w:tcW w:type="dxa" w:w="5400"/>
          </w:tcPr>
          <w:p>
            <w:pPr>
              <w:spacing w:after="0" w:before="0" w:line="240" w:lineRule="auto"/>
              <w:jc w:val="left"/>
            </w:pPr>
            <w:r>
              <w:rPr>
                <w:rFonts w:ascii="Consolas" w:hAnsi="Consolas"/>
                <w:color w:val="333333"/>
                <w:sz w:val="19"/>
                <w:shd w:val="clear" w:color="auto" w:fill="EFEFEF"/>
              </w:rPr>
              <w:t>PROCESS_RESULT</w:t>
            </w:r>
          </w:p>
        </w:tc>
        <w:tc>
          <w:tcPr>
            <w:tcW w:type="dxa" w:w="5400"/>
          </w:tcPr>
          <w:p>
            <w:pPr>
              <w:spacing w:after="0" w:before="0" w:line="240" w:lineRule="auto"/>
              <w:jc w:val="left"/>
            </w:pPr>
            <w:r>
              <w:t>Results and measurements associated with events</w:t>
            </w:r>
          </w:p>
        </w:tc>
      </w:tr>
      <w:tr>
        <w:tc>
          <w:tcPr>
            <w:tcW w:type="dxa" w:w="5400"/>
          </w:tcPr>
          <w:p>
            <w:pPr>
              <w:spacing w:after="0" w:before="0" w:line="240" w:lineRule="auto"/>
              <w:jc w:val="left"/>
            </w:pPr>
            <w:r>
              <w:rPr>
                <w:rFonts w:ascii="Consolas" w:hAnsi="Consolas"/>
                <w:color w:val="333333"/>
                <w:sz w:val="19"/>
                <w:shd w:val="clear" w:color="auto" w:fill="EFEFEF"/>
              </w:rPr>
              <w:t>RECIPE_REVISION</w:t>
            </w:r>
          </w:p>
        </w:tc>
        <w:tc>
          <w:tcPr>
            <w:tcW w:type="dxa" w:w="5400"/>
          </w:tcPr>
          <w:p>
            <w:pPr>
              <w:spacing w:after="0" w:before="0" w:line="240" w:lineRule="auto"/>
              <w:jc w:val="left"/>
            </w:pPr>
            <w:r>
              <w:t>Process configuration revisions</w:t>
            </w:r>
          </w:p>
        </w:tc>
      </w:tr>
      <w:tr>
        <w:tc>
          <w:tcPr>
            <w:tcW w:type="dxa" w:w="5400"/>
          </w:tcPr>
          <w:p>
            <w:pPr>
              <w:spacing w:after="0" w:before="0" w:line="240" w:lineRule="auto"/>
              <w:jc w:val="left"/>
            </w:pPr>
            <w:r>
              <w:rPr>
                <w:rFonts w:ascii="Consolas" w:hAnsi="Consolas"/>
                <w:color w:val="333333"/>
                <w:sz w:val="19"/>
                <w:shd w:val="clear" w:color="auto" w:fill="EFEFEF"/>
              </w:rPr>
              <w:t>QUALITY_DISPOSITION</w:t>
            </w:r>
          </w:p>
        </w:tc>
        <w:tc>
          <w:tcPr>
            <w:tcW w:type="dxa" w:w="5400"/>
          </w:tcPr>
          <w:p>
            <w:pPr>
              <w:spacing w:after="0" w:before="0" w:line="240" w:lineRule="auto"/>
              <w:jc w:val="left"/>
            </w:pPr>
            <w:r>
              <w:t>Accepted, rejected, held, or reworked status</w:t>
            </w:r>
          </w:p>
        </w:tc>
      </w:tr>
      <w:tr>
        <w:tc>
          <w:tcPr>
            <w:tcW w:type="dxa" w:w="5400"/>
          </w:tcPr>
          <w:p>
            <w:pPr>
              <w:spacing w:after="0" w:before="0" w:line="240" w:lineRule="auto"/>
              <w:jc w:val="left"/>
            </w:pPr>
            <w:r>
              <w:rPr>
                <w:rFonts w:ascii="Consolas" w:hAnsi="Consolas"/>
                <w:color w:val="333333"/>
                <w:sz w:val="19"/>
                <w:shd w:val="clear" w:color="auto" w:fill="EFEFEF"/>
              </w:rPr>
              <w:t>AUDIT_EVENT</w:t>
            </w:r>
          </w:p>
        </w:tc>
        <w:tc>
          <w:tcPr>
            <w:tcW w:type="dxa" w:w="5400"/>
          </w:tcPr>
          <w:p>
            <w:pPr>
              <w:spacing w:after="0" w:before="0" w:line="240" w:lineRule="auto"/>
              <w:jc w:val="left"/>
            </w:pPr>
            <w:r>
              <w:t>Relevant data changes and administrative actions</w:t>
            </w:r>
          </w:p>
        </w:tc>
      </w:tr>
    </w:tbl>
    <w:p/>
    <w:p>
      <w:r>
        <w:t>These are logical examples, not a mandatory schema.</w:t>
      </w:r>
    </w:p>
    <w:p>
      <w:pPr>
        <w:pStyle w:val="Heading3"/>
      </w:pPr>
      <w:r>
        <w:t>10.2 Data integrity requirements</w:t>
      </w:r>
    </w:p>
    <w:p>
      <w:pPr>
        <w:pStyle w:val="ListBullet"/>
      </w:pPr>
      <w:r>
        <w:t>Use stable unique keys for records.</w:t>
      </w:r>
    </w:p>
    <w:p>
      <w:pPr>
        <w:pStyle w:val="ListBullet"/>
      </w:pPr>
      <w:r>
        <w:t>Enforce appropriate foreign-key or equivalent relationship validation.</w:t>
      </w:r>
    </w:p>
    <w:p>
      <w:pPr>
        <w:pStyle w:val="ListBullet"/>
      </w:pPr>
      <w:r>
        <w:t>Define which fields are mandatory.</w:t>
      </w:r>
    </w:p>
    <w:p>
      <w:pPr>
        <w:pStyle w:val="ListBullet"/>
      </w:pPr>
      <w:r>
        <w:t>Validate identifier formats and allowed result values.</w:t>
      </w:r>
    </w:p>
    <w:p>
      <w:pPr>
        <w:pStyle w:val="ListBullet"/>
      </w:pPr>
      <w:r>
        <w:t>Prevent accidental duplicate transactions.</w:t>
      </w:r>
    </w:p>
    <w:p>
      <w:pPr>
        <w:pStyle w:val="ListBullet"/>
      </w:pPr>
      <w:r>
        <w:t>Preserve the relationship between event and result.</w:t>
      </w:r>
    </w:p>
    <w:p>
      <w:pPr>
        <w:pStyle w:val="ListBullet"/>
      </w:pPr>
      <w:r>
        <w:t>Store timestamps consistently and document the time-zone convention.</w:t>
      </w:r>
    </w:p>
    <w:p>
      <w:pPr>
        <w:pStyle w:val="ListBullet"/>
      </w:pPr>
      <w:r>
        <w:t>Record the source of the data.</w:t>
      </w:r>
    </w:p>
    <w:p>
      <w:pPr>
        <w:pStyle w:val="ListBullet"/>
      </w:pPr>
      <w:r>
        <w:t>Define access control, backup, retention, and recovery requirements.</w:t>
      </w:r>
    </w:p>
    <w:p>
      <w:pPr>
        <w:pStyle w:val="ListBullet"/>
      </w:pPr>
      <w:r>
        <w:t>Preserve historical results and corrections through controlled records.</w:t>
      </w:r>
    </w:p>
    <w:p>
      <w:pPr>
        <w:pStyle w:val="Heading3"/>
      </w:pPr>
      <w:r>
        <w:t>10.3 Duplicate-event handling</w:t>
      </w:r>
    </w:p>
    <w:p>
      <w:r>
        <w:t>Communication retries may cause a controller or gateway to send the same event more than once.</w:t>
      </w:r>
    </w:p>
    <w:p>
      <w:r>
        <w:t>A robust system can use a unique event identifier or a defined idempotency key so that a retry does not create a second logical production event.</w:t>
      </w:r>
    </w:p>
    <w:p>
      <w:r>
        <w:t>For example:</w:t>
      </w:r>
    </w:p>
    <w:p>
      <w:pPr>
        <w:shd w:val="clear" w:color="auto" w:fill="F4F4F4"/>
        <w:spacing w:before="0" w:after="0" w:line="240" w:lineRule="auto"/>
        <w:ind w:left="216" w:right="216"/>
        <w:jc w:val="left"/>
      </w:pPr>
      <w:r>
        <w:rPr>
          <w:rFonts w:ascii="Consolas" w:hAnsi="Consolas"/>
          <w:color w:val="202020"/>
          <w:sz w:val="18"/>
        </w:rPr>
        <w:t>Event ID: EVT-10025</w:t>
      </w:r>
    </w:p>
    <w:p>
      <w:pPr>
        <w:shd w:val="clear" w:color="auto" w:fill="F4F4F4"/>
        <w:spacing w:before="0" w:after="0" w:line="240" w:lineRule="auto"/>
        <w:ind w:left="216" w:right="216"/>
        <w:jc w:val="left"/>
      </w:pPr>
      <w:r>
        <w:rPr>
          <w:rFonts w:ascii="Consolas" w:hAnsi="Consolas"/>
          <w:color w:val="202020"/>
          <w:sz w:val="18"/>
        </w:rPr>
        <w:t>First transmission → Record accepted</w:t>
      </w:r>
    </w:p>
    <w:p>
      <w:pPr>
        <w:shd w:val="clear" w:color="auto" w:fill="F4F4F4"/>
        <w:spacing w:before="0" w:after="0" w:line="240" w:lineRule="auto"/>
        <w:ind w:left="216" w:right="216"/>
        <w:jc w:val="left"/>
      </w:pPr>
      <w:r>
        <w:rPr>
          <w:rFonts w:ascii="Consolas" w:hAnsi="Consolas"/>
          <w:color w:val="202020"/>
          <w:sz w:val="18"/>
        </w:rPr>
        <w:t>Retry of EVT-10025 → Recognize existing event</w:t>
      </w:r>
    </w:p>
    <w:p>
      <w:pPr>
        <w:shd w:val="clear" w:color="auto" w:fill="F4F4F4"/>
        <w:spacing w:before="0" w:after="0" w:line="240" w:lineRule="auto"/>
        <w:ind w:left="216" w:right="216"/>
        <w:jc w:val="left"/>
      </w:pPr>
      <w:r>
        <w:rPr>
          <w:rFonts w:ascii="Consolas" w:hAnsi="Consolas"/>
          <w:color w:val="202020"/>
          <w:sz w:val="18"/>
        </w:rPr>
        <w:t>Different event ID → Process as a separate event</w:t>
      </w:r>
    </w:p>
    <w:p/>
    <w:p>
      <w:r>
        <w:t>A repeated transmission is not necessarily a repeated physical operation. The system must distinguish communication retries from actual new production events.</w:t>
      </w:r>
    </w:p>
    <w:p>
      <w:pPr>
        <w:pStyle w:val="Heading2"/>
      </w:pPr>
      <w:r>
        <w:t>11. Time synchronization and event ordering</w:t>
      </w:r>
    </w:p>
    <w:p>
      <w:r>
        <w:t>Timestamps are important when reconstructing production history or correlating faults across multiple controllers.</w:t>
      </w:r>
    </w:p>
    <w:p>
      <w:r>
        <w:t>Possible time sources include approved plant time services and synchronized industrial infrastructure, depending on the installation.</w:t>
      </w:r>
    </w:p>
    <w:p>
      <w:r>
        <w:t>Important considerations:</w:t>
      </w:r>
    </w:p>
    <w:p>
      <w:pPr>
        <w:pStyle w:val="ListBullet"/>
      </w:pPr>
      <w:r>
        <w:t>Synchronize clocks using the approved method.</w:t>
      </w:r>
    </w:p>
    <w:p>
      <w:pPr>
        <w:pStyle w:val="ListBullet"/>
      </w:pPr>
      <w:r>
        <w:t>Document whether timestamps represent local time or UTC.</w:t>
      </w:r>
    </w:p>
    <w:p>
      <w:pPr>
        <w:pStyle w:val="ListBullet"/>
      </w:pPr>
      <w:r>
        <w:t>Preserve time-zone information where necessary.</w:t>
      </w:r>
    </w:p>
    <w:p>
      <w:pPr>
        <w:pStyle w:val="ListBullet"/>
      </w:pPr>
      <w:r>
        <w:t>Avoid treating unsynchronized controller clocks as perfectly comparable.</w:t>
      </w:r>
    </w:p>
    <w:p>
      <w:pPr>
        <w:pStyle w:val="ListBullet"/>
      </w:pPr>
      <w:r>
        <w:t>Record event sequence numbers where time alone cannot reliably establish ordering.</w:t>
      </w:r>
    </w:p>
    <w:p>
      <w:pPr>
        <w:pStyle w:val="ListBullet"/>
      </w:pPr>
      <w:r>
        <w:t>Define handling for missing, invalid, or unexpectedly future timestamps.</w:t>
      </w:r>
    </w:p>
    <w:p>
      <w:r>
        <w:t>If a robot controller is several minutes ahead of the PLC, a simple timestamp sort may produce an incorrect event sequence. Time synchronization and sequence validation must work together.</w:t>
      </w:r>
    </w:p>
    <w:p>
      <w:pPr>
        <w:pStyle w:val="Heading2"/>
      </w:pPr>
      <w:r>
        <w:t>12. Data quality and error handling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Failure</w:t>
            </w:r>
          </w:p>
        </w:tc>
        <w:tc>
          <w:tcPr>
            <w:tcW w:type="dxa" w:w="3600"/>
            <w:shd w:val="clear" w:color="auto" w:fill="EEF2F7"/>
          </w:tcPr>
          <w:p>
            <w:pPr>
              <w:spacing w:after="0" w:before="0" w:line="240" w:lineRule="auto"/>
              <w:jc w:val="left"/>
            </w:pPr>
            <w:r>
              <w:rPr>
                <w:b/>
                <w:color w:val="1A2E4A"/>
              </w:rPr>
              <w:t>Potential consequence</w:t>
            </w:r>
          </w:p>
        </w:tc>
        <w:tc>
          <w:tcPr>
            <w:tcW w:type="dxa" w:w="3600"/>
            <w:shd w:val="clear" w:color="auto" w:fill="EEF2F7"/>
          </w:tcPr>
          <w:p>
            <w:pPr>
              <w:spacing w:after="0" w:before="0" w:line="240" w:lineRule="auto"/>
              <w:jc w:val="left"/>
            </w:pPr>
            <w:r>
              <w:rPr>
                <w:b/>
                <w:color w:val="1A2E4A"/>
              </w:rPr>
              <w:t>Recommended control</w:t>
            </w:r>
          </w:p>
        </w:tc>
      </w:tr>
      <w:tr>
        <w:tc>
          <w:tcPr>
            <w:tcW w:type="dxa" w:w="3600"/>
          </w:tcPr>
          <w:p>
            <w:pPr>
              <w:spacing w:after="0" w:before="0" w:line="240" w:lineRule="auto"/>
              <w:jc w:val="left"/>
            </w:pPr>
            <w:r>
              <w:t>Barcode no-read</w:t>
            </w:r>
          </w:p>
        </w:tc>
        <w:tc>
          <w:tcPr>
            <w:tcW w:type="dxa" w:w="3600"/>
          </w:tcPr>
          <w:p>
            <w:pPr>
              <w:spacing w:after="0" w:before="0" w:line="240" w:lineRule="auto"/>
              <w:jc w:val="left"/>
            </w:pPr>
            <w:r>
              <w:t>Product identity unavailable</w:t>
            </w:r>
          </w:p>
        </w:tc>
        <w:tc>
          <w:tcPr>
            <w:tcW w:type="dxa" w:w="3600"/>
          </w:tcPr>
          <w:p>
            <w:pPr>
              <w:spacing w:after="0" w:before="0" w:line="240" w:lineRule="auto"/>
              <w:jc w:val="left"/>
            </w:pPr>
            <w:r>
              <w:t>Defined retry and controlled hold or recovery</w:t>
            </w:r>
          </w:p>
        </w:tc>
      </w:tr>
      <w:tr>
        <w:tc>
          <w:tcPr>
            <w:tcW w:type="dxa" w:w="3600"/>
          </w:tcPr>
          <w:p>
            <w:pPr>
              <w:spacing w:after="0" w:before="0" w:line="240" w:lineRule="auto"/>
              <w:jc w:val="left"/>
            </w:pPr>
            <w:r>
              <w:t>Wrong identity read</w:t>
            </w:r>
          </w:p>
        </w:tc>
        <w:tc>
          <w:tcPr>
            <w:tcW w:type="dxa" w:w="3600"/>
          </w:tcPr>
          <w:p>
            <w:pPr>
              <w:spacing w:after="0" w:before="0" w:line="240" w:lineRule="auto"/>
              <w:jc w:val="left"/>
            </w:pPr>
            <w:r>
              <w:t>Incorrect production history</w:t>
            </w:r>
          </w:p>
        </w:tc>
        <w:tc>
          <w:tcPr>
            <w:tcW w:type="dxa" w:w="3600"/>
          </w:tcPr>
          <w:p>
            <w:pPr>
              <w:spacing w:after="0" w:before="0" w:line="240" w:lineRule="auto"/>
              <w:jc w:val="left"/>
            </w:pPr>
            <w:r>
              <w:t>Format validation and physical tracking checks</w:t>
            </w:r>
          </w:p>
        </w:tc>
      </w:tr>
      <w:tr>
        <w:tc>
          <w:tcPr>
            <w:tcW w:type="dxa" w:w="3600"/>
          </w:tcPr>
          <w:p>
            <w:pPr>
              <w:spacing w:after="0" w:before="0" w:line="240" w:lineRule="auto"/>
              <w:jc w:val="left"/>
            </w:pPr>
            <w:r>
              <w:t>Duplicate serial number</w:t>
            </w:r>
          </w:p>
        </w:tc>
        <w:tc>
          <w:tcPr>
            <w:tcW w:type="dxa" w:w="3600"/>
          </w:tcPr>
          <w:p>
            <w:pPr>
              <w:spacing w:after="0" w:before="0" w:line="240" w:lineRule="auto"/>
              <w:jc w:val="left"/>
            </w:pPr>
            <w:r>
              <w:t>Two products share an identity</w:t>
            </w:r>
          </w:p>
        </w:tc>
        <w:tc>
          <w:tcPr>
            <w:tcW w:type="dxa" w:w="3600"/>
          </w:tcPr>
          <w:p>
            <w:pPr>
              <w:spacing w:after="0" w:before="0" w:line="240" w:lineRule="auto"/>
              <w:jc w:val="left"/>
            </w:pPr>
            <w:r>
              <w:t>Unique identity enforcement and exception handling</w:t>
            </w:r>
          </w:p>
        </w:tc>
      </w:tr>
      <w:tr>
        <w:tc>
          <w:tcPr>
            <w:tcW w:type="dxa" w:w="3600"/>
          </w:tcPr>
          <w:p>
            <w:pPr>
              <w:spacing w:after="0" w:before="0" w:line="240" w:lineRule="auto"/>
              <w:jc w:val="left"/>
            </w:pPr>
            <w:r>
              <w:t>Stale PLC identity</w:t>
            </w:r>
          </w:p>
        </w:tc>
        <w:tc>
          <w:tcPr>
            <w:tcW w:type="dxa" w:w="3600"/>
          </w:tcPr>
          <w:p>
            <w:pPr>
              <w:spacing w:after="0" w:before="0" w:line="240" w:lineRule="auto"/>
              <w:jc w:val="left"/>
            </w:pPr>
            <w:r>
              <w:t>New body receives previous body's results</w:t>
            </w:r>
          </w:p>
        </w:tc>
        <w:tc>
          <w:tcPr>
            <w:tcW w:type="dxa" w:w="3600"/>
          </w:tcPr>
          <w:p>
            <w:pPr>
              <w:spacing w:after="0" w:before="0" w:line="240" w:lineRule="auto"/>
              <w:jc w:val="left"/>
            </w:pPr>
            <w:r>
              <w:t>Reset and validate identity at controlled transitions</w:t>
            </w:r>
          </w:p>
        </w:tc>
      </w:tr>
      <w:tr>
        <w:tc>
          <w:tcPr>
            <w:tcW w:type="dxa" w:w="3600"/>
          </w:tcPr>
          <w:p>
            <w:pPr>
              <w:spacing w:after="0" w:before="0" w:line="240" w:lineRule="auto"/>
              <w:jc w:val="left"/>
            </w:pPr>
            <w:r>
              <w:t>Missing process result</w:t>
            </w:r>
          </w:p>
        </w:tc>
        <w:tc>
          <w:tcPr>
            <w:tcW w:type="dxa" w:w="3600"/>
          </w:tcPr>
          <w:p>
            <w:pPr>
              <w:spacing w:after="0" w:before="0" w:line="240" w:lineRule="auto"/>
              <w:jc w:val="left"/>
            </w:pPr>
            <w:r>
              <w:t>Incomplete production history</w:t>
            </w:r>
          </w:p>
        </w:tc>
        <w:tc>
          <w:tcPr>
            <w:tcW w:type="dxa" w:w="3600"/>
          </w:tcPr>
          <w:p>
            <w:pPr>
              <w:spacing w:after="0" w:before="0" w:line="240" w:lineRule="auto"/>
              <w:jc w:val="left"/>
            </w:pPr>
            <w:r>
              <w:t>Completion checks and missing-result alarms</w:t>
            </w:r>
          </w:p>
        </w:tc>
      </w:tr>
      <w:tr>
        <w:tc>
          <w:tcPr>
            <w:tcW w:type="dxa" w:w="3600"/>
          </w:tcPr>
          <w:p>
            <w:pPr>
              <w:spacing w:after="0" w:before="0" w:line="240" w:lineRule="auto"/>
              <w:jc w:val="left"/>
            </w:pPr>
            <w:r>
              <w:t>Wrong recipe association</w:t>
            </w:r>
          </w:p>
        </w:tc>
        <w:tc>
          <w:tcPr>
            <w:tcW w:type="dxa" w:w="3600"/>
          </w:tcPr>
          <w:p>
            <w:pPr>
              <w:spacing w:after="0" w:before="0" w:line="240" w:lineRule="auto"/>
              <w:jc w:val="left"/>
            </w:pPr>
            <w:r>
              <w:t>Process result linked to incorrect configuration</w:t>
            </w:r>
          </w:p>
        </w:tc>
        <w:tc>
          <w:tcPr>
            <w:tcW w:type="dxa" w:w="3600"/>
          </w:tcPr>
          <w:p>
            <w:pPr>
              <w:spacing w:after="0" w:before="0" w:line="240" w:lineRule="auto"/>
              <w:jc w:val="left"/>
            </w:pPr>
            <w:r>
              <w:t>Record the actual selected recipe and revision</w:t>
            </w:r>
          </w:p>
        </w:tc>
      </w:tr>
      <w:tr>
        <w:tc>
          <w:tcPr>
            <w:tcW w:type="dxa" w:w="3600"/>
          </w:tcPr>
          <w:p>
            <w:pPr>
              <w:spacing w:after="0" w:before="0" w:line="240" w:lineRule="auto"/>
              <w:jc w:val="left"/>
            </w:pPr>
            <w:r>
              <w:t>Database outage</w:t>
            </w:r>
          </w:p>
        </w:tc>
        <w:tc>
          <w:tcPr>
            <w:tcW w:type="dxa" w:w="3600"/>
          </w:tcPr>
          <w:p>
            <w:pPr>
              <w:spacing w:after="0" w:before="0" w:line="240" w:lineRule="auto"/>
              <w:jc w:val="left"/>
            </w:pPr>
            <w:r>
              <w:t>Records cannot be persisted immediately</w:t>
            </w:r>
          </w:p>
        </w:tc>
        <w:tc>
          <w:tcPr>
            <w:tcW w:type="dxa" w:w="3600"/>
          </w:tcPr>
          <w:p>
            <w:pPr>
              <w:spacing w:after="0" w:before="0" w:line="240" w:lineRule="auto"/>
              <w:jc w:val="left"/>
            </w:pPr>
            <w:r>
              <w:t>Approved buffering and recovery strategy</w:t>
            </w:r>
          </w:p>
        </w:tc>
      </w:tr>
      <w:tr>
        <w:tc>
          <w:tcPr>
            <w:tcW w:type="dxa" w:w="3600"/>
          </w:tcPr>
          <w:p>
            <w:pPr>
              <w:spacing w:after="0" w:before="0" w:line="240" w:lineRule="auto"/>
              <w:jc w:val="left"/>
            </w:pPr>
            <w:r>
              <w:t>Network interruption</w:t>
            </w:r>
          </w:p>
        </w:tc>
        <w:tc>
          <w:tcPr>
            <w:tcW w:type="dxa" w:w="3600"/>
          </w:tcPr>
          <w:p>
            <w:pPr>
              <w:spacing w:after="0" w:before="0" w:line="240" w:lineRule="auto"/>
              <w:jc w:val="left"/>
            </w:pPr>
            <w:r>
              <w:t>Delayed or missing event delivery</w:t>
            </w:r>
          </w:p>
        </w:tc>
        <w:tc>
          <w:tcPr>
            <w:tcW w:type="dxa" w:w="3600"/>
          </w:tcPr>
          <w:p>
            <w:pPr>
              <w:spacing w:after="0" w:before="0" w:line="240" w:lineRule="auto"/>
              <w:jc w:val="left"/>
            </w:pPr>
            <w:r>
              <w:t>Queueing, retry, acknowledgement, and reconciliation</w:t>
            </w:r>
          </w:p>
        </w:tc>
      </w:tr>
      <w:tr>
        <w:tc>
          <w:tcPr>
            <w:tcW w:type="dxa" w:w="3600"/>
          </w:tcPr>
          <w:p>
            <w:pPr>
              <w:spacing w:after="0" w:before="0" w:line="240" w:lineRule="auto"/>
              <w:jc w:val="left"/>
            </w:pPr>
            <w:r>
              <w:t>Clock mismatch</w:t>
            </w:r>
          </w:p>
        </w:tc>
        <w:tc>
          <w:tcPr>
            <w:tcW w:type="dxa" w:w="3600"/>
          </w:tcPr>
          <w:p>
            <w:pPr>
              <w:spacing w:after="0" w:before="0" w:line="240" w:lineRule="auto"/>
              <w:jc w:val="left"/>
            </w:pPr>
            <w:r>
              <w:t>Incorrect event ordering</w:t>
            </w:r>
          </w:p>
        </w:tc>
        <w:tc>
          <w:tcPr>
            <w:tcW w:type="dxa" w:w="3600"/>
          </w:tcPr>
          <w:p>
            <w:pPr>
              <w:spacing w:after="0" w:before="0" w:line="240" w:lineRule="auto"/>
              <w:jc w:val="left"/>
            </w:pPr>
            <w:r>
              <w:t>Time synchronization and sequence identifiers</w:t>
            </w:r>
          </w:p>
        </w:tc>
      </w:tr>
      <w:tr>
        <w:tc>
          <w:tcPr>
            <w:tcW w:type="dxa" w:w="3600"/>
          </w:tcPr>
          <w:p>
            <w:pPr>
              <w:spacing w:after="0" w:before="0" w:line="240" w:lineRule="auto"/>
              <w:jc w:val="left"/>
            </w:pPr>
            <w:r>
              <w:t>Carrier-body mismatch</w:t>
            </w:r>
          </w:p>
        </w:tc>
        <w:tc>
          <w:tcPr>
            <w:tcW w:type="dxa" w:w="3600"/>
          </w:tcPr>
          <w:p>
            <w:pPr>
              <w:spacing w:after="0" w:before="0" w:line="240" w:lineRule="auto"/>
              <w:jc w:val="left"/>
            </w:pPr>
            <w:r>
              <w:t>Events associated with the wrong physical item</w:t>
            </w:r>
          </w:p>
        </w:tc>
        <w:tc>
          <w:tcPr>
            <w:tcW w:type="dxa" w:w="3600"/>
          </w:tcPr>
          <w:p>
            <w:pPr>
              <w:spacing w:after="0" w:before="0" w:line="240" w:lineRule="auto"/>
              <w:jc w:val="left"/>
            </w:pPr>
            <w:r>
              <w:t>Controlled association and transfer confirmation</w:t>
            </w:r>
          </w:p>
        </w:tc>
      </w:tr>
      <w:tr>
        <w:tc>
          <w:tcPr>
            <w:tcW w:type="dxa" w:w="3600"/>
          </w:tcPr>
          <w:p>
            <w:pPr>
              <w:spacing w:after="0" w:before="0" w:line="240" w:lineRule="auto"/>
              <w:jc w:val="left"/>
            </w:pPr>
            <w:r>
              <w:t>Incorrect manual correction</w:t>
            </w:r>
          </w:p>
        </w:tc>
        <w:tc>
          <w:tcPr>
            <w:tcW w:type="dxa" w:w="3600"/>
          </w:tcPr>
          <w:p>
            <w:pPr>
              <w:spacing w:after="0" w:before="0" w:line="240" w:lineRule="auto"/>
              <w:jc w:val="left"/>
            </w:pPr>
            <w:r>
              <w:t>Loss of historical accuracy</w:t>
            </w:r>
          </w:p>
        </w:tc>
        <w:tc>
          <w:tcPr>
            <w:tcW w:type="dxa" w:w="3600"/>
          </w:tcPr>
          <w:p>
            <w:pPr>
              <w:spacing w:after="0" w:before="0" w:line="240" w:lineRule="auto"/>
              <w:jc w:val="left"/>
            </w:pPr>
            <w:r>
              <w:t>Role-based permissions and audit trail</w:t>
            </w:r>
          </w:p>
        </w:tc>
      </w:tr>
      <w:tr>
        <w:tc>
          <w:tcPr>
            <w:tcW w:type="dxa" w:w="3600"/>
          </w:tcPr>
          <w:p>
            <w:pPr>
              <w:spacing w:after="0" w:before="0" w:line="240" w:lineRule="auto"/>
              <w:jc w:val="left"/>
            </w:pPr>
            <w:r>
              <w:t>Duplicate result submission</w:t>
            </w:r>
          </w:p>
        </w:tc>
        <w:tc>
          <w:tcPr>
            <w:tcW w:type="dxa" w:w="3600"/>
          </w:tcPr>
          <w:p>
            <w:pPr>
              <w:spacing w:after="0" w:before="0" w:line="240" w:lineRule="auto"/>
              <w:jc w:val="left"/>
            </w:pPr>
            <w:r>
              <w:t>Inflated production counts or confusing history</w:t>
            </w:r>
          </w:p>
        </w:tc>
        <w:tc>
          <w:tcPr>
            <w:tcW w:type="dxa" w:w="3600"/>
          </w:tcPr>
          <w:p>
            <w:pPr>
              <w:spacing w:after="0" w:before="0" w:line="240" w:lineRule="auto"/>
              <w:jc w:val="left"/>
            </w:pPr>
            <w:r>
              <w:t>Unique event identity and idempotent processing</w:t>
            </w:r>
          </w:p>
        </w:tc>
      </w:tr>
    </w:tbl>
    <w:p/>
    <w:p>
      <w:pPr>
        <w:pStyle w:val="Heading3"/>
      </w:pPr>
      <w:r>
        <w:t>12.1 Offline operation</w:t>
      </w:r>
    </w:p>
    <w:p>
      <w:r>
        <w:t>If the central database or MES becomes unavailable, the permitted operating behavior must be defined by the production and quality requirements.</w:t>
      </w:r>
    </w:p>
    <w:p>
      <w:r>
        <w:t>Possible designs include:</w:t>
      </w:r>
    </w:p>
    <w:p>
      <w:pPr>
        <w:pStyle w:val="ListBullet"/>
      </w:pPr>
      <w:r>
        <w:t>Stop the station or line.</w:t>
      </w:r>
    </w:p>
    <w:p>
      <w:pPr>
        <w:pStyle w:val="ListBullet"/>
      </w:pPr>
      <w:r>
        <w:t>Hold the product until records can be confirmed.</w:t>
      </w:r>
    </w:p>
    <w:p>
      <w:pPr>
        <w:pStyle w:val="ListBullet"/>
      </w:pPr>
      <w:r>
        <w:t>Buffer records locally and transmit them later.</w:t>
      </w:r>
    </w:p>
    <w:p>
      <w:pPr>
        <w:pStyle w:val="ListBullet"/>
      </w:pPr>
      <w:r>
        <w:t>Continue only under an explicitly approved degraded mode.</w:t>
      </w:r>
    </w:p>
    <w:p>
      <w:r>
        <w:t>Local buffering requires adequate storage, event ordering, duplicate protection, and reconciliation. It must not silently discard records when the connection returns.</w:t>
      </w:r>
    </w:p>
    <w:p>
      <w:pPr>
        <w:pStyle w:val="Heading2"/>
      </w:pPr>
      <w:r>
        <w:t>13. Genealogy and defect containment</w:t>
      </w:r>
    </w:p>
    <w:p>
      <w:r>
        <w:t>Genealogy allows the quality team to identify which products may be affected by a component or process defect.</w:t>
      </w:r>
    </w:p>
    <w:p>
      <w:r>
        <w:t>A containment investigation should establish:</w:t>
      </w:r>
    </w:p>
    <w:p>
      <w:pPr>
        <w:tabs>
          <w:tab w:pos="403" w:val="left"/>
        </w:tabs>
        <w:spacing w:after="40" w:line="276" w:lineRule="auto"/>
        <w:ind w:left="403" w:hanging="403"/>
        <w:jc w:val="left"/>
      </w:pPr>
      <w:r>
        <w:rPr>
          <w:color w:val="1A2E4A"/>
        </w:rPr>
        <w:t>1.</w:t>
        <w:tab/>
      </w:r>
      <w:r>
        <w:t>The defective product, component, process, or material lot.</w:t>
      </w:r>
    </w:p>
    <w:p>
      <w:pPr>
        <w:tabs>
          <w:tab w:pos="403" w:val="left"/>
        </w:tabs>
        <w:spacing w:after="40" w:line="276" w:lineRule="auto"/>
        <w:ind w:left="403" w:hanging="403"/>
        <w:jc w:val="left"/>
      </w:pPr>
      <w:r>
        <w:rPr>
          <w:color w:val="1A2E4A"/>
        </w:rPr>
        <w:t>2.</w:t>
        <w:tab/>
      </w:r>
      <w:r>
        <w:t>The time interval and production locations involved.</w:t>
      </w:r>
    </w:p>
    <w:p>
      <w:pPr>
        <w:tabs>
          <w:tab w:pos="403" w:val="left"/>
        </w:tabs>
        <w:spacing w:after="40" w:line="276" w:lineRule="auto"/>
        <w:ind w:left="403" w:hanging="403"/>
        <w:jc w:val="left"/>
      </w:pPr>
      <w:r>
        <w:rPr>
          <w:color w:val="1A2E4A"/>
        </w:rPr>
        <w:t>3.</w:t>
        <w:tab/>
      </w:r>
      <w:r>
        <w:t>The actual parent-child or material-to-product relationships.</w:t>
      </w:r>
    </w:p>
    <w:p>
      <w:pPr>
        <w:tabs>
          <w:tab w:pos="403" w:val="left"/>
        </w:tabs>
        <w:spacing w:after="40" w:line="276" w:lineRule="auto"/>
        <w:ind w:left="403" w:hanging="403"/>
        <w:jc w:val="left"/>
      </w:pPr>
      <w:r>
        <w:rPr>
          <w:color w:val="1A2E4A"/>
        </w:rPr>
        <w:t>4.</w:t>
        <w:tab/>
      </w:r>
      <w:r>
        <w:t>Which products have confirmed exposure.</w:t>
      </w:r>
    </w:p>
    <w:p>
      <w:pPr>
        <w:tabs>
          <w:tab w:pos="403" w:val="left"/>
        </w:tabs>
        <w:spacing w:after="40" w:line="276" w:lineRule="auto"/>
        <w:ind w:left="403" w:hanging="403"/>
        <w:jc w:val="left"/>
      </w:pPr>
      <w:r>
        <w:rPr>
          <w:color w:val="1A2E4A"/>
        </w:rPr>
        <w:t>5.</w:t>
        <w:tab/>
      </w:r>
      <w:r>
        <w:t>Which products have incomplete or uncertain records.</w:t>
      </w:r>
    </w:p>
    <w:p>
      <w:pPr>
        <w:tabs>
          <w:tab w:pos="403" w:val="left"/>
        </w:tabs>
        <w:spacing w:after="40" w:line="276" w:lineRule="auto"/>
        <w:ind w:left="403" w:hanging="403"/>
        <w:jc w:val="left"/>
      </w:pPr>
      <w:r>
        <w:rPr>
          <w:color w:val="1A2E4A"/>
        </w:rPr>
        <w:t>6.</w:t>
        <w:tab/>
      </w:r>
      <w:r>
        <w:t>The required inspection, rework, or hold disposition.</w:t>
      </w:r>
    </w:p>
    <w:p>
      <w:pPr>
        <w:tabs>
          <w:tab w:pos="403" w:val="left"/>
        </w:tabs>
        <w:spacing w:after="40" w:line="276" w:lineRule="auto"/>
        <w:ind w:left="403" w:hanging="403"/>
        <w:jc w:val="left"/>
      </w:pPr>
      <w:r>
        <w:rPr>
          <w:color w:val="1A2E4A"/>
        </w:rPr>
        <w:t>7.</w:t>
        <w:tab/>
      </w:r>
      <w:r>
        <w:t>Evidence that the containment actions were completed.</w:t>
      </w:r>
    </w:p>
    <w:p>
      <w:r>
        <w:t>Products with missing genealogy data should not automatically be considered unaffected. An unknown relationship is an uncertainty requiring a defined disposition.</w:t>
      </w:r>
    </w:p>
    <w:p>
      <w:pPr>
        <w:pStyle w:val="Heading2"/>
      </w:pPr>
      <w:r>
        <w:t>14. Traceability and quality audits</w:t>
      </w:r>
    </w:p>
    <w:p>
      <w:r>
        <w:t>Traceability records should support reconstruction of relevant production history without depending on an individual's memory.</w:t>
      </w:r>
    </w:p>
    <w:p>
      <w:r>
        <w:t>Typical audit checks include:</w:t>
      </w:r>
    </w:p>
    <w:p>
      <w:pPr>
        <w:pStyle w:val="ListBullet"/>
      </w:pPr>
      <w:r>
        <w:t>Can a selected body ID be retrieved?</w:t>
      </w:r>
    </w:p>
    <w:p>
      <w:pPr>
        <w:pStyle w:val="ListBullet"/>
      </w:pPr>
      <w:r>
        <w:t>Are the expected station events present?</w:t>
      </w:r>
    </w:p>
    <w:p>
      <w:pPr>
        <w:pStyle w:val="ListBullet"/>
      </w:pPr>
      <w:r>
        <w:t>Are process results linked to the correct operation?</w:t>
      </w:r>
    </w:p>
    <w:p>
      <w:pPr>
        <w:pStyle w:val="ListBullet"/>
      </w:pPr>
      <w:r>
        <w:t>Can the actual recipe and revision be established?</w:t>
      </w:r>
    </w:p>
    <w:p>
      <w:pPr>
        <w:pStyle w:val="ListBullet"/>
      </w:pPr>
      <w:r>
        <w:t>Are failed and reworked attempts preserved where required?</w:t>
      </w:r>
    </w:p>
    <w:p>
      <w:pPr>
        <w:pStyle w:val="ListBullet"/>
      </w:pPr>
      <w:r>
        <w:t>Are changes to records controlled and attributable?</w:t>
      </w:r>
    </w:p>
    <w:p>
      <w:pPr>
        <w:pStyle w:val="ListBullet"/>
      </w:pPr>
      <w:r>
        <w:t>Can affected products be identified from a known defective component or process?</w:t>
      </w:r>
    </w:p>
    <w:p>
      <w:pPr>
        <w:pStyle w:val="ListBullet"/>
      </w:pPr>
      <w:r>
        <w:t>Are timestamps, source identifiers, and data retention consistent with requirements?</w:t>
      </w:r>
    </w:p>
    <w:p>
      <w:pPr>
        <w:pStyle w:val="ListBullet"/>
      </w:pPr>
      <w:r>
        <w:t>Has restoration from backup been tested according to policy?</w:t>
      </w:r>
    </w:p>
    <w:p>
      <w:r>
        <w:t>The required retention period, electronic record controls, and customer-specific requirements must be taken from the applicable plant procedures and standards.</w:t>
      </w:r>
    </w:p>
    <w:p>
      <w:pPr>
        <w:pStyle w:val="Heading2"/>
      </w:pPr>
      <w:r>
        <w:t>15. Cybersecurity and access control</w:t>
      </w:r>
    </w:p>
    <w:p>
      <w:r>
        <w:t>Traceability systems contain production history and can influence quality decisions. Unauthorized changes can undermine both manufacturing control and the credibility of the records.</w:t>
      </w:r>
    </w:p>
    <w:p>
      <w:r>
        <w:t>Recommended controls include:</w:t>
      </w:r>
    </w:p>
    <w:p>
      <w:pPr>
        <w:pStyle w:val="ListBullet"/>
      </w:pPr>
      <w:r>
        <w:t>Role-based access to production and administrative functions.</w:t>
      </w:r>
    </w:p>
    <w:p>
      <w:pPr>
        <w:pStyle w:val="ListBullet"/>
      </w:pPr>
      <w:r>
        <w:t>Separate permissions for viewing, correcting, approving, and deleting records.</w:t>
      </w:r>
    </w:p>
    <w:p>
      <w:pPr>
        <w:pStyle w:val="ListBullet"/>
      </w:pPr>
      <w:r>
        <w:t>Authentication for authorized configuration changes.</w:t>
      </w:r>
    </w:p>
    <w:p>
      <w:pPr>
        <w:pStyle w:val="ListBullet"/>
      </w:pPr>
      <w:r>
        <w:t>Audit logging for critical changes.</w:t>
      </w:r>
    </w:p>
    <w:p>
      <w:pPr>
        <w:pStyle w:val="ListBullet"/>
      </w:pPr>
      <w:r>
        <w:t>Network segmentation appropriate to the plant architecture.</w:t>
      </w:r>
    </w:p>
    <w:p>
      <w:pPr>
        <w:pStyle w:val="ListBullet"/>
      </w:pPr>
      <w:r>
        <w:t>Controlled service accounts and credentials.</w:t>
      </w:r>
    </w:p>
    <w:p>
      <w:pPr>
        <w:pStyle w:val="ListBullet"/>
      </w:pPr>
      <w:r>
        <w:t>Approved backup and restoration procedures.</w:t>
      </w:r>
    </w:p>
    <w:p>
      <w:pPr>
        <w:pStyle w:val="ListBullet"/>
      </w:pPr>
      <w:r>
        <w:t>Protection against unauthorized recipe or identity mapping changes.</w:t>
      </w:r>
    </w:p>
    <w:p>
      <w:pPr>
        <w:pStyle w:val="ListBullet"/>
      </w:pPr>
      <w:r>
        <w:t>Monitoring for missing, duplicated, or unexpected events.</w:t>
      </w:r>
    </w:p>
    <w:p>
      <w:r>
        <w:t>Production traceability data should not be casually overwritten to make dashboards look cleaner. Corrected records should preserve the original information and the authorized correction history.</w:t>
      </w:r>
    </w:p>
    <w:p>
      <w:pPr>
        <w:pStyle w:val="Heading2"/>
      </w:pPr>
      <w:r>
        <w:t>16. Practical troubleshooting scenarios</w:t>
      </w:r>
    </w:p>
    <w:p>
      <w:pPr>
        <w:pStyle w:val="Heading3"/>
      </w:pPr>
      <w:r>
        <w:t>Scenario 1: Body history is missing</w:t>
      </w:r>
    </w:p>
    <w:p>
      <w:r>
        <w:t>A body has completed a station operation, but its process result is absent from the traceability database.</w:t>
      </w:r>
    </w:p>
    <w:p>
      <w:r>
        <w:t>Investigate the physical identity read, PLC identity state, controller completion result, data transmission, acknowledgement, database write status, and any local buffer. Establish whether the operation failed, the result failed to transmit, or the result was stored under another identity.</w:t>
      </w:r>
    </w:p>
    <w:p>
      <w:pPr>
        <w:pStyle w:val="Heading3"/>
      </w:pPr>
      <w:r>
        <w:t>Scenario 2: Two bodies appear to have the same identity</w:t>
      </w:r>
    </w:p>
    <w:p>
      <w:r>
        <w:t>Check the identification source, serial-number generation rules, duplicate validation, PLC state retention, carrier transitions, and database uniqueness controls.</w:t>
      </w:r>
    </w:p>
    <w:p>
      <w:r>
        <w:t>Do not manually rename records without following the approved identity-correction and audit procedure.</w:t>
      </w:r>
    </w:p>
    <w:p>
      <w:pPr>
        <w:pStyle w:val="Heading3"/>
      </w:pPr>
      <w:r>
        <w:t>Scenario 3: Incorrect variant was processed</w:t>
      </w:r>
    </w:p>
    <w:p>
      <w:r>
        <w:t>Compare the physical product, read identity, MES or recipe selection, PLC program command, and actual controller program. Identify whether the fault originated in identity reading, product master data, route selection, or control logic.</w:t>
      </w:r>
    </w:p>
    <w:p>
      <w:r>
        <w:t>Contain potentially affected products according to the quality procedure.</w:t>
      </w:r>
    </w:p>
    <w:p>
      <w:pPr>
        <w:pStyle w:val="Heading3"/>
      </w:pPr>
      <w:r>
        <w:t>Scenario 4: Database outage during production</w:t>
      </w:r>
    </w:p>
    <w:p>
      <w:r>
        <w:t>Check the communication alarm, local buffering status, queue capacity, event identifiers, and recovery behavior. After service restoration, reconcile transmitted events against the expected physical production sequence.</w:t>
      </w:r>
    </w:p>
    <w:p>
      <w:r>
        <w:t>Do not assume that a successful reconnection means every missing record has been recovered.</w:t>
      </w:r>
    </w:p>
    <w:p>
      <w:pPr>
        <w:pStyle w:val="Heading3"/>
      </w:pPr>
      <w:r>
        <w:t>Scenario 5: A defect must be traced backward</w:t>
      </w:r>
    </w:p>
    <w:p>
      <w:r>
        <w:t>Start with the affected body ID. Retrieve its station history, equipment and recipe revisions, relevant process measurements, and linked component or material genealogy. Distinguish confirmed evidence from missing or uncertain data.</w:t>
      </w:r>
    </w:p>
    <w:p>
      <w:pPr>
        <w:pStyle w:val="Heading2"/>
      </w:pPr>
      <w:r>
        <w:t>17. Performance metrics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Metric</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Traceability completeness</w:t>
            </w:r>
          </w:p>
        </w:tc>
        <w:tc>
          <w:tcPr>
            <w:tcW w:type="dxa" w:w="5400"/>
          </w:tcPr>
          <w:p>
            <w:pPr>
              <w:spacing w:after="0" w:before="0" w:line="240" w:lineRule="auto"/>
              <w:jc w:val="left"/>
            </w:pPr>
            <w:r>
              <w:t>Percentage of required records available for the defined scope</w:t>
            </w:r>
          </w:p>
        </w:tc>
      </w:tr>
      <w:tr>
        <w:tc>
          <w:tcPr>
            <w:tcW w:type="dxa" w:w="5400"/>
          </w:tcPr>
          <w:p>
            <w:pPr>
              <w:spacing w:after="0" w:before="0" w:line="240" w:lineRule="auto"/>
              <w:jc w:val="left"/>
            </w:pPr>
            <w:r>
              <w:t>Identity read success rate</w:t>
            </w:r>
          </w:p>
        </w:tc>
        <w:tc>
          <w:tcPr>
            <w:tcW w:type="dxa" w:w="5400"/>
          </w:tcPr>
          <w:p>
            <w:pPr>
              <w:spacing w:after="0" w:before="0" w:line="240" w:lineRule="auto"/>
              <w:jc w:val="left"/>
            </w:pPr>
            <w:r>
              <w:t>Percentage of identification attempts producing valid reads</w:t>
            </w:r>
          </w:p>
        </w:tc>
      </w:tr>
      <w:tr>
        <w:tc>
          <w:tcPr>
            <w:tcW w:type="dxa" w:w="5400"/>
          </w:tcPr>
          <w:p>
            <w:pPr>
              <w:spacing w:after="0" w:before="0" w:line="240" w:lineRule="auto"/>
              <w:jc w:val="left"/>
            </w:pPr>
            <w:r>
              <w:t>Duplicate-event rate</w:t>
            </w:r>
          </w:p>
        </w:tc>
        <w:tc>
          <w:tcPr>
            <w:tcW w:type="dxa" w:w="5400"/>
          </w:tcPr>
          <w:p>
            <w:pPr>
              <w:spacing w:after="0" w:before="0" w:line="240" w:lineRule="auto"/>
              <w:jc w:val="left"/>
            </w:pPr>
            <w:r>
              <w:t>Frequency of duplicate logical events</w:t>
            </w:r>
          </w:p>
        </w:tc>
      </w:tr>
      <w:tr>
        <w:tc>
          <w:tcPr>
            <w:tcW w:type="dxa" w:w="5400"/>
          </w:tcPr>
          <w:p>
            <w:pPr>
              <w:spacing w:after="0" w:before="0" w:line="240" w:lineRule="auto"/>
              <w:jc w:val="left"/>
            </w:pPr>
            <w:r>
              <w:t>Missing-result rate</w:t>
            </w:r>
          </w:p>
        </w:tc>
        <w:tc>
          <w:tcPr>
            <w:tcW w:type="dxa" w:w="5400"/>
          </w:tcPr>
          <w:p>
            <w:pPr>
              <w:spacing w:after="0" w:before="0" w:line="240" w:lineRule="auto"/>
              <w:jc w:val="left"/>
            </w:pPr>
            <w:r>
              <w:t>Frequency of expected results absent from records</w:t>
            </w:r>
          </w:p>
        </w:tc>
      </w:tr>
      <w:tr>
        <w:tc>
          <w:tcPr>
            <w:tcW w:type="dxa" w:w="5400"/>
          </w:tcPr>
          <w:p>
            <w:pPr>
              <w:spacing w:after="0" w:before="0" w:line="240" w:lineRule="auto"/>
              <w:jc w:val="left"/>
            </w:pPr>
            <w:r>
              <w:t>Identity mismatch rate</w:t>
            </w:r>
          </w:p>
        </w:tc>
        <w:tc>
          <w:tcPr>
            <w:tcW w:type="dxa" w:w="5400"/>
          </w:tcPr>
          <w:p>
            <w:pPr>
              <w:spacing w:after="0" w:before="0" w:line="240" w:lineRule="auto"/>
              <w:jc w:val="left"/>
            </w:pPr>
            <w:r>
              <w:t>Frequency of product or carrier association errors</w:t>
            </w:r>
          </w:p>
        </w:tc>
      </w:tr>
      <w:tr>
        <w:tc>
          <w:tcPr>
            <w:tcW w:type="dxa" w:w="5400"/>
          </w:tcPr>
          <w:p>
            <w:pPr>
              <w:spacing w:after="0" w:before="0" w:line="240" w:lineRule="auto"/>
              <w:jc w:val="left"/>
            </w:pPr>
            <w:r>
              <w:t>Data latency</w:t>
            </w:r>
          </w:p>
        </w:tc>
        <w:tc>
          <w:tcPr>
            <w:tcW w:type="dxa" w:w="5400"/>
          </w:tcPr>
          <w:p>
            <w:pPr>
              <w:spacing w:after="0" w:before="0" w:line="240" w:lineRule="auto"/>
              <w:jc w:val="left"/>
            </w:pPr>
            <w:r>
              <w:t>Delay between the physical event and record availability</w:t>
            </w:r>
          </w:p>
        </w:tc>
      </w:tr>
      <w:tr>
        <w:tc>
          <w:tcPr>
            <w:tcW w:type="dxa" w:w="5400"/>
          </w:tcPr>
          <w:p>
            <w:pPr>
              <w:spacing w:after="0" w:before="0" w:line="240" w:lineRule="auto"/>
              <w:jc w:val="left"/>
            </w:pPr>
            <w:r>
              <w:t>Recovery completeness</w:t>
            </w:r>
          </w:p>
        </w:tc>
        <w:tc>
          <w:tcPr>
            <w:tcW w:type="dxa" w:w="5400"/>
          </w:tcPr>
          <w:p>
            <w:pPr>
              <w:spacing w:after="0" w:before="0" w:line="240" w:lineRule="auto"/>
              <w:jc w:val="left"/>
            </w:pPr>
            <w:r>
              <w:t>Percentage of buffered or delayed events successfully reconciled</w:t>
            </w:r>
          </w:p>
        </w:tc>
      </w:tr>
      <w:tr>
        <w:tc>
          <w:tcPr>
            <w:tcW w:type="dxa" w:w="5400"/>
          </w:tcPr>
          <w:p>
            <w:pPr>
              <w:spacing w:after="0" w:before="0" w:line="240" w:lineRule="auto"/>
              <w:jc w:val="left"/>
            </w:pPr>
            <w:r>
              <w:t>Genealogy completeness</w:t>
            </w:r>
          </w:p>
        </w:tc>
        <w:tc>
          <w:tcPr>
            <w:tcW w:type="dxa" w:w="5400"/>
          </w:tcPr>
          <w:p>
            <w:pPr>
              <w:spacing w:after="0" w:before="0" w:line="240" w:lineRule="auto"/>
              <w:jc w:val="left"/>
            </w:pPr>
            <w:r>
              <w:t>Percentage of required parent-child relationships recorded</w:t>
            </w:r>
          </w:p>
        </w:tc>
      </w:tr>
      <w:tr>
        <w:tc>
          <w:tcPr>
            <w:tcW w:type="dxa" w:w="5400"/>
          </w:tcPr>
          <w:p>
            <w:pPr>
              <w:spacing w:after="0" w:before="0" w:line="240" w:lineRule="auto"/>
              <w:jc w:val="left"/>
            </w:pPr>
            <w:r>
              <w:t>Defect containment time</w:t>
            </w:r>
          </w:p>
        </w:tc>
        <w:tc>
          <w:tcPr>
            <w:tcW w:type="dxa" w:w="5400"/>
          </w:tcPr>
          <w:p>
            <w:pPr>
              <w:spacing w:after="0" w:before="0" w:line="240" w:lineRule="auto"/>
              <w:jc w:val="left"/>
            </w:pPr>
            <w:r>
              <w:t>Time required to identify the potentially affected production</w:t>
            </w:r>
          </w:p>
        </w:tc>
      </w:tr>
      <w:tr>
        <w:tc>
          <w:tcPr>
            <w:tcW w:type="dxa" w:w="5400"/>
          </w:tcPr>
          <w:p>
            <w:pPr>
              <w:spacing w:after="0" w:before="0" w:line="240" w:lineRule="auto"/>
              <w:jc w:val="left"/>
            </w:pPr>
            <w:r>
              <w:t>Audit retrieval time</w:t>
            </w:r>
          </w:p>
        </w:tc>
        <w:tc>
          <w:tcPr>
            <w:tcW w:type="dxa" w:w="5400"/>
          </w:tcPr>
          <w:p>
            <w:pPr>
              <w:spacing w:after="0" w:before="0" w:line="240" w:lineRule="auto"/>
              <w:jc w:val="left"/>
            </w:pPr>
            <w:r>
              <w:t>Time needed to reconstruct the required product history</w:t>
            </w:r>
          </w:p>
        </w:tc>
      </w:tr>
    </w:tbl>
    <w:p/>
    <w:p>
      <w:r>
        <w:t>Metric definitions must specify the denominator, scope, time period, and treatment of retries. For example, a barcode retry should not be counted as a separate body unless the metric is specifically measuring read attempts.</w:t>
      </w:r>
    </w:p>
    <w:p>
      <w:pPr>
        <w:pStyle w:val="Heading2"/>
      </w:pPr>
      <w:r>
        <w:t>18. Machine Knowledge Base documentation</w:t>
      </w:r>
    </w:p>
    <w:p>
      <w:r>
        <w:t>Recommended folder structure:</w:t>
      </w:r>
    </w:p>
    <w:p>
      <w:pPr>
        <w:shd w:val="clear" w:color="auto" w:fill="F4F4F4"/>
        <w:spacing w:before="0" w:after="0" w:line="240" w:lineRule="auto"/>
        <w:ind w:left="216" w:right="216"/>
        <w:jc w:val="left"/>
      </w:pPr>
      <w:r>
        <w:rPr>
          <w:rFonts w:ascii="Consolas" w:hAnsi="Consolas"/>
          <w:color w:val="202020"/>
          <w:sz w:val="18"/>
        </w:rPr>
        <w:t>Machine_KB</w:t>
      </w:r>
    </w:p>
    <w:p>
      <w:pPr>
        <w:shd w:val="clear" w:color="auto" w:fill="F4F4F4"/>
        <w:spacing w:before="0" w:after="0" w:line="240" w:lineRule="auto"/>
        <w:ind w:left="216" w:right="216"/>
        <w:jc w:val="left"/>
      </w:pPr>
      <w:r>
        <w:rPr>
          <w:rFonts w:ascii="Consolas" w:hAnsi="Consolas"/>
          <w:color w:val="202020"/>
          <w:sz w:val="18"/>
        </w:rPr>
        <w:t xml:space="preserve">    → Traceability</w:t>
      </w:r>
    </w:p>
    <w:p>
      <w:pPr>
        <w:shd w:val="clear" w:color="auto" w:fill="F4F4F4"/>
        <w:spacing w:before="0" w:after="0" w:line="240" w:lineRule="auto"/>
        <w:ind w:left="216" w:right="216"/>
        <w:jc w:val="left"/>
      </w:pPr>
      <w:r>
        <w:rPr>
          <w:rFonts w:ascii="Consolas" w:hAnsi="Consolas"/>
          <w:color w:val="202020"/>
          <w:sz w:val="18"/>
        </w:rPr>
        <w:t xml:space="preserve">        → Architecture_and_Data_Flow</w:t>
      </w:r>
    </w:p>
    <w:p>
      <w:pPr>
        <w:shd w:val="clear" w:color="auto" w:fill="F4F4F4"/>
        <w:spacing w:before="0" w:after="0" w:line="240" w:lineRule="auto"/>
        <w:ind w:left="216" w:right="216"/>
        <w:jc w:val="left"/>
      </w:pPr>
      <w:r>
        <w:rPr>
          <w:rFonts w:ascii="Consolas" w:hAnsi="Consolas"/>
          <w:color w:val="202020"/>
          <w:sz w:val="18"/>
        </w:rPr>
        <w:t xml:space="preserve">        → Product_Identity_Standards</w:t>
      </w:r>
    </w:p>
    <w:p>
      <w:pPr>
        <w:shd w:val="clear" w:color="auto" w:fill="F4F4F4"/>
        <w:spacing w:before="0" w:after="0" w:line="240" w:lineRule="auto"/>
        <w:ind w:left="216" w:right="216"/>
        <w:jc w:val="left"/>
      </w:pPr>
      <w:r>
        <w:rPr>
          <w:rFonts w:ascii="Consolas" w:hAnsi="Consolas"/>
          <w:color w:val="202020"/>
          <w:sz w:val="18"/>
        </w:rPr>
        <w:t xml:space="preserve">        → Barcode_RFID_Configuration</w:t>
      </w:r>
    </w:p>
    <w:p>
      <w:pPr>
        <w:shd w:val="clear" w:color="auto" w:fill="F4F4F4"/>
        <w:spacing w:before="0" w:after="0" w:line="240" w:lineRule="auto"/>
        <w:ind w:left="216" w:right="216"/>
        <w:jc w:val="left"/>
      </w:pPr>
      <w:r>
        <w:rPr>
          <w:rFonts w:ascii="Consolas" w:hAnsi="Consolas"/>
          <w:color w:val="202020"/>
          <w:sz w:val="18"/>
        </w:rPr>
        <w:t xml:space="preserve">        → Carrier_and_Body_Association</w:t>
      </w:r>
    </w:p>
    <w:p>
      <w:pPr>
        <w:shd w:val="clear" w:color="auto" w:fill="F4F4F4"/>
        <w:spacing w:before="0" w:after="0" w:line="240" w:lineRule="auto"/>
        <w:ind w:left="216" w:right="216"/>
        <w:jc w:val="left"/>
      </w:pPr>
      <w:r>
        <w:rPr>
          <w:rFonts w:ascii="Consolas" w:hAnsi="Consolas"/>
          <w:color w:val="202020"/>
          <w:sz w:val="18"/>
        </w:rPr>
        <w:t xml:space="preserve">        → PLC_Tag_Mapping</w:t>
      </w:r>
    </w:p>
    <w:p>
      <w:pPr>
        <w:shd w:val="clear" w:color="auto" w:fill="F4F4F4"/>
        <w:spacing w:before="0" w:after="0" w:line="240" w:lineRule="auto"/>
        <w:ind w:left="216" w:right="216"/>
        <w:jc w:val="left"/>
      </w:pPr>
      <w:r>
        <w:rPr>
          <w:rFonts w:ascii="Consolas" w:hAnsi="Consolas"/>
          <w:color w:val="202020"/>
          <w:sz w:val="18"/>
        </w:rPr>
        <w:t xml:space="preserve">        → Station_and_Operation_Master</w:t>
      </w:r>
    </w:p>
    <w:p>
      <w:pPr>
        <w:shd w:val="clear" w:color="auto" w:fill="F4F4F4"/>
        <w:spacing w:before="0" w:after="0" w:line="240" w:lineRule="auto"/>
        <w:ind w:left="216" w:right="216"/>
        <w:jc w:val="left"/>
      </w:pPr>
      <w:r>
        <w:rPr>
          <w:rFonts w:ascii="Consolas" w:hAnsi="Consolas"/>
          <w:color w:val="202020"/>
          <w:sz w:val="18"/>
        </w:rPr>
        <w:t xml:space="preserve">        → Recipe_and_Revision_Mapping</w:t>
      </w:r>
    </w:p>
    <w:p>
      <w:pPr>
        <w:shd w:val="clear" w:color="auto" w:fill="F4F4F4"/>
        <w:spacing w:before="0" w:after="0" w:line="240" w:lineRule="auto"/>
        <w:ind w:left="216" w:right="216"/>
        <w:jc w:val="left"/>
      </w:pPr>
      <w:r>
        <w:rPr>
          <w:rFonts w:ascii="Consolas" w:hAnsi="Consolas"/>
          <w:color w:val="202020"/>
          <w:sz w:val="18"/>
        </w:rPr>
        <w:t xml:space="preserve">        → Database_Schema</w:t>
      </w:r>
    </w:p>
    <w:p>
      <w:pPr>
        <w:shd w:val="clear" w:color="auto" w:fill="F4F4F4"/>
        <w:spacing w:before="0" w:after="0" w:line="240" w:lineRule="auto"/>
        <w:ind w:left="216" w:right="216"/>
        <w:jc w:val="left"/>
      </w:pPr>
      <w:r>
        <w:rPr>
          <w:rFonts w:ascii="Consolas" w:hAnsi="Consolas"/>
          <w:color w:val="202020"/>
          <w:sz w:val="18"/>
        </w:rPr>
        <w:t xml:space="preserve">        → MES_SCADA_ERP_Interfaces</w:t>
      </w:r>
    </w:p>
    <w:p>
      <w:pPr>
        <w:shd w:val="clear" w:color="auto" w:fill="F4F4F4"/>
        <w:spacing w:before="0" w:after="0" w:line="240" w:lineRule="auto"/>
        <w:ind w:left="216" w:right="216"/>
        <w:jc w:val="left"/>
      </w:pPr>
      <w:r>
        <w:rPr>
          <w:rFonts w:ascii="Consolas" w:hAnsi="Consolas"/>
          <w:color w:val="202020"/>
          <w:sz w:val="18"/>
        </w:rPr>
        <w:t xml:space="preserve">        → Event_and_Result_Definitions</w:t>
      </w:r>
    </w:p>
    <w:p>
      <w:pPr>
        <w:shd w:val="clear" w:color="auto" w:fill="F4F4F4"/>
        <w:spacing w:before="0" w:after="0" w:line="240" w:lineRule="auto"/>
        <w:ind w:left="216" w:right="216"/>
        <w:jc w:val="left"/>
      </w:pPr>
      <w:r>
        <w:rPr>
          <w:rFonts w:ascii="Consolas" w:hAnsi="Consolas"/>
          <w:color w:val="202020"/>
          <w:sz w:val="18"/>
        </w:rPr>
        <w:t xml:space="preserve">        → Genealogy_Rules</w:t>
      </w:r>
    </w:p>
    <w:p>
      <w:pPr>
        <w:shd w:val="clear" w:color="auto" w:fill="F4F4F4"/>
        <w:spacing w:before="0" w:after="0" w:line="240" w:lineRule="auto"/>
        <w:ind w:left="216" w:right="216"/>
        <w:jc w:val="left"/>
      </w:pPr>
      <w:r>
        <w:rPr>
          <w:rFonts w:ascii="Consolas" w:hAnsi="Consolas"/>
          <w:color w:val="202020"/>
          <w:sz w:val="18"/>
        </w:rPr>
        <w:t xml:space="preserve">        → Data_Quality_Checks</w:t>
      </w:r>
    </w:p>
    <w:p>
      <w:pPr>
        <w:shd w:val="clear" w:color="auto" w:fill="F4F4F4"/>
        <w:spacing w:before="0" w:after="0" w:line="240" w:lineRule="auto"/>
        <w:ind w:left="216" w:right="216"/>
        <w:jc w:val="left"/>
      </w:pPr>
      <w:r>
        <w:rPr>
          <w:rFonts w:ascii="Consolas" w:hAnsi="Consolas"/>
          <w:color w:val="202020"/>
          <w:sz w:val="18"/>
        </w:rPr>
        <w:t xml:space="preserve">        → Offline_Buffer_and_Recovery</w:t>
      </w:r>
    </w:p>
    <w:p>
      <w:pPr>
        <w:shd w:val="clear" w:color="auto" w:fill="F4F4F4"/>
        <w:spacing w:before="0" w:after="0" w:line="240" w:lineRule="auto"/>
        <w:ind w:left="216" w:right="216"/>
        <w:jc w:val="left"/>
      </w:pPr>
      <w:r>
        <w:rPr>
          <w:rFonts w:ascii="Consolas" w:hAnsi="Consolas"/>
          <w:color w:val="202020"/>
          <w:sz w:val="18"/>
        </w:rPr>
        <w:t xml:space="preserve">        → Troubleshooting_SOP</w:t>
      </w:r>
    </w:p>
    <w:p>
      <w:pPr>
        <w:shd w:val="clear" w:color="auto" w:fill="F4F4F4"/>
        <w:spacing w:before="0" w:after="0" w:line="240" w:lineRule="auto"/>
        <w:ind w:left="216" w:right="216"/>
        <w:jc w:val="left"/>
      </w:pPr>
      <w:r>
        <w:rPr>
          <w:rFonts w:ascii="Consolas" w:hAnsi="Consolas"/>
          <w:color w:val="202020"/>
          <w:sz w:val="18"/>
        </w:rPr>
        <w:t xml:space="preserve">        → Access_Control_and_Audit</w:t>
      </w:r>
    </w:p>
    <w:p>
      <w:pPr>
        <w:shd w:val="clear" w:color="auto" w:fill="F4F4F4"/>
        <w:spacing w:before="0" w:after="0" w:line="240" w:lineRule="auto"/>
        <w:ind w:left="216" w:right="216"/>
        <w:jc w:val="left"/>
      </w:pPr>
      <w:r>
        <w:rPr>
          <w:rFonts w:ascii="Consolas" w:hAnsi="Consolas"/>
          <w:color w:val="202020"/>
          <w:sz w:val="18"/>
        </w:rPr>
        <w:t xml:space="preserve">        → Backup_and_Restore</w:t>
      </w:r>
    </w:p>
    <w:p>
      <w:pPr>
        <w:shd w:val="clear" w:color="auto" w:fill="F4F4F4"/>
        <w:spacing w:before="0" w:after="0" w:line="240" w:lineRule="auto"/>
        <w:ind w:left="216" w:right="216"/>
        <w:jc w:val="left"/>
      </w:pPr>
      <w:r>
        <w:rPr>
          <w:rFonts w:ascii="Consolas" w:hAnsi="Consolas"/>
          <w:color w:val="202020"/>
          <w:sz w:val="18"/>
        </w:rPr>
        <w:t xml:space="preserve">        → Fault_History</w:t>
      </w:r>
    </w:p>
    <w:p>
      <w:pPr>
        <w:shd w:val="clear" w:color="auto" w:fill="F4F4F4"/>
        <w:spacing w:before="0" w:after="0" w:line="240" w:lineRule="auto"/>
        <w:ind w:left="216" w:right="216"/>
        <w:jc w:val="left"/>
      </w:pPr>
      <w:r>
        <w:rPr>
          <w:rFonts w:ascii="Consolas" w:hAnsi="Consolas"/>
          <w:color w:val="202020"/>
          <w:sz w:val="18"/>
        </w:rPr>
        <w:t xml:space="preserve">        → Change_Control_and_Approvals</w:t>
      </w:r>
    </w:p>
    <w:p/>
    <w:p>
      <w:pPr>
        <w:pStyle w:val="Heading3"/>
      </w:pPr>
      <w:r>
        <w:t>18.1 Traceability system register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System ID</w:t>
            </w:r>
          </w:p>
        </w:tc>
        <w:tc>
          <w:tcPr>
            <w:tcW w:type="dxa" w:w="5400"/>
          </w:tcPr>
          <w:p>
            <w:pPr>
              <w:spacing w:after="0" w:before="0" w:line="240" w:lineRule="auto"/>
              <w:jc w:val="left"/>
            </w:pPr>
            <w:r>
              <w:t>Unique identifier for the traceability service</w:t>
            </w:r>
          </w:p>
        </w:tc>
      </w:tr>
      <w:tr>
        <w:tc>
          <w:tcPr>
            <w:tcW w:type="dxa" w:w="5400"/>
          </w:tcPr>
          <w:p>
            <w:pPr>
              <w:spacing w:after="0" w:before="0" w:line="240" w:lineRule="auto"/>
              <w:jc w:val="left"/>
            </w:pPr>
            <w:r>
              <w:t>Station scope</w:t>
            </w:r>
          </w:p>
        </w:tc>
        <w:tc>
          <w:tcPr>
            <w:tcW w:type="dxa" w:w="5400"/>
          </w:tcPr>
          <w:p>
            <w:pPr>
              <w:spacing w:after="0" w:before="0" w:line="240" w:lineRule="auto"/>
              <w:jc w:val="left"/>
            </w:pPr>
            <w:r>
              <w:t>Stations and processes covered</w:t>
            </w:r>
          </w:p>
        </w:tc>
      </w:tr>
      <w:tr>
        <w:tc>
          <w:tcPr>
            <w:tcW w:type="dxa" w:w="5400"/>
          </w:tcPr>
          <w:p>
            <w:pPr>
              <w:spacing w:after="0" w:before="0" w:line="240" w:lineRule="auto"/>
              <w:jc w:val="left"/>
            </w:pPr>
            <w:r>
              <w:t>Product identity source</w:t>
            </w:r>
          </w:p>
        </w:tc>
        <w:tc>
          <w:tcPr>
            <w:tcW w:type="dxa" w:w="5400"/>
          </w:tcPr>
          <w:p>
            <w:pPr>
              <w:spacing w:after="0" w:before="0" w:line="240" w:lineRule="auto"/>
              <w:jc w:val="left"/>
            </w:pPr>
            <w:r>
              <w:t>Barcode, RFID, MES assignment, or other approved source</w:t>
            </w:r>
          </w:p>
        </w:tc>
      </w:tr>
      <w:tr>
        <w:tc>
          <w:tcPr>
            <w:tcW w:type="dxa" w:w="5400"/>
          </w:tcPr>
          <w:p>
            <w:pPr>
              <w:spacing w:after="0" w:before="0" w:line="240" w:lineRule="auto"/>
              <w:jc w:val="left"/>
            </w:pPr>
            <w:r>
              <w:t>PLC interface</w:t>
            </w:r>
          </w:p>
        </w:tc>
        <w:tc>
          <w:tcPr>
            <w:tcW w:type="dxa" w:w="5400"/>
          </w:tcPr>
          <w:p>
            <w:pPr>
              <w:spacing w:after="0" w:before="0" w:line="240" w:lineRule="auto"/>
              <w:jc w:val="left"/>
            </w:pPr>
            <w:r>
              <w:t>Actual communication and tag mapping</w:t>
            </w:r>
          </w:p>
        </w:tc>
      </w:tr>
      <w:tr>
        <w:tc>
          <w:tcPr>
            <w:tcW w:type="dxa" w:w="5400"/>
          </w:tcPr>
          <w:p>
            <w:pPr>
              <w:spacing w:after="0" w:before="0" w:line="240" w:lineRule="auto"/>
              <w:jc w:val="left"/>
            </w:pPr>
            <w:r>
              <w:t>Data destination</w:t>
            </w:r>
          </w:p>
        </w:tc>
        <w:tc>
          <w:tcPr>
            <w:tcW w:type="dxa" w:w="5400"/>
          </w:tcPr>
          <w:p>
            <w:pPr>
              <w:spacing w:after="0" w:before="0" w:line="240" w:lineRule="auto"/>
              <w:jc w:val="left"/>
            </w:pPr>
            <w:r>
              <w:t>Database, MES, or industrial data service</w:t>
            </w:r>
          </w:p>
        </w:tc>
      </w:tr>
      <w:tr>
        <w:tc>
          <w:tcPr>
            <w:tcW w:type="dxa" w:w="5400"/>
          </w:tcPr>
          <w:p>
            <w:pPr>
              <w:spacing w:after="0" w:before="0" w:line="240" w:lineRule="auto"/>
              <w:jc w:val="left"/>
            </w:pPr>
            <w:r>
              <w:t>Event types</w:t>
            </w:r>
          </w:p>
        </w:tc>
        <w:tc>
          <w:tcPr>
            <w:tcW w:type="dxa" w:w="5400"/>
          </w:tcPr>
          <w:p>
            <w:pPr>
              <w:spacing w:after="0" w:before="0" w:line="240" w:lineRule="auto"/>
              <w:jc w:val="left"/>
            </w:pPr>
            <w:r>
              <w:t>Required operations and event categories</w:t>
            </w:r>
          </w:p>
        </w:tc>
      </w:tr>
      <w:tr>
        <w:tc>
          <w:tcPr>
            <w:tcW w:type="dxa" w:w="5400"/>
          </w:tcPr>
          <w:p>
            <w:pPr>
              <w:spacing w:after="0" w:before="0" w:line="240" w:lineRule="auto"/>
              <w:jc w:val="left"/>
            </w:pPr>
            <w:r>
              <w:t>Required results</w:t>
            </w:r>
          </w:p>
        </w:tc>
        <w:tc>
          <w:tcPr>
            <w:tcW w:type="dxa" w:w="5400"/>
          </w:tcPr>
          <w:p>
            <w:pPr>
              <w:spacing w:after="0" w:before="0" w:line="240" w:lineRule="auto"/>
              <w:jc w:val="left"/>
            </w:pPr>
            <w:r>
              <w:t>Measurements and statuses that must be recorded</w:t>
            </w:r>
          </w:p>
        </w:tc>
      </w:tr>
      <w:tr>
        <w:tc>
          <w:tcPr>
            <w:tcW w:type="dxa" w:w="5400"/>
          </w:tcPr>
          <w:p>
            <w:pPr>
              <w:spacing w:after="0" w:before="0" w:line="240" w:lineRule="auto"/>
              <w:jc w:val="left"/>
            </w:pPr>
            <w:r>
              <w:t>Identity relationship</w:t>
            </w:r>
          </w:p>
        </w:tc>
        <w:tc>
          <w:tcPr>
            <w:tcW w:type="dxa" w:w="5400"/>
          </w:tcPr>
          <w:p>
            <w:pPr>
              <w:spacing w:after="0" w:before="0" w:line="240" w:lineRule="auto"/>
              <w:jc w:val="left"/>
            </w:pPr>
            <w:r>
              <w:t>Rules connecting body, carrier, component, and event</w:t>
            </w:r>
          </w:p>
        </w:tc>
      </w:tr>
      <w:tr>
        <w:tc>
          <w:tcPr>
            <w:tcW w:type="dxa" w:w="5400"/>
          </w:tcPr>
          <w:p>
            <w:pPr>
              <w:spacing w:after="0" w:before="0" w:line="240" w:lineRule="auto"/>
              <w:jc w:val="left"/>
            </w:pPr>
            <w:r>
              <w:t>Offline strategy</w:t>
            </w:r>
          </w:p>
        </w:tc>
        <w:tc>
          <w:tcPr>
            <w:tcW w:type="dxa" w:w="5400"/>
          </w:tcPr>
          <w:p>
            <w:pPr>
              <w:spacing w:after="0" w:before="0" w:line="240" w:lineRule="auto"/>
              <w:jc w:val="left"/>
            </w:pPr>
            <w:r>
              <w:t>Approved behavior during communication failure</w:t>
            </w:r>
          </w:p>
        </w:tc>
      </w:tr>
      <w:tr>
        <w:tc>
          <w:tcPr>
            <w:tcW w:type="dxa" w:w="5400"/>
          </w:tcPr>
          <w:p>
            <w:pPr>
              <w:spacing w:after="0" w:before="0" w:line="240" w:lineRule="auto"/>
              <w:jc w:val="left"/>
            </w:pPr>
            <w:r>
              <w:t>Retention policy</w:t>
            </w:r>
          </w:p>
        </w:tc>
        <w:tc>
          <w:tcPr>
            <w:tcW w:type="dxa" w:w="5400"/>
          </w:tcPr>
          <w:p>
            <w:pPr>
              <w:spacing w:after="0" w:before="0" w:line="240" w:lineRule="auto"/>
              <w:jc w:val="left"/>
            </w:pPr>
            <w:r>
              <w:t>Required record preservation period</w:t>
            </w:r>
          </w:p>
        </w:tc>
      </w:tr>
      <w:tr>
        <w:tc>
          <w:tcPr>
            <w:tcW w:type="dxa" w:w="5400"/>
          </w:tcPr>
          <w:p>
            <w:pPr>
              <w:spacing w:after="0" w:before="0" w:line="240" w:lineRule="auto"/>
              <w:jc w:val="left"/>
            </w:pPr>
            <w:r>
              <w:t>Backup and recovery</w:t>
            </w:r>
          </w:p>
        </w:tc>
        <w:tc>
          <w:tcPr>
            <w:tcW w:type="dxa" w:w="5400"/>
          </w:tcPr>
          <w:p>
            <w:pPr>
              <w:spacing w:after="0" w:before="0" w:line="240" w:lineRule="auto"/>
              <w:jc w:val="left"/>
            </w:pPr>
            <w:r>
              <w:t>Configuration and data restoration procedures</w:t>
            </w:r>
          </w:p>
        </w:tc>
      </w:tr>
      <w:tr>
        <w:tc>
          <w:tcPr>
            <w:tcW w:type="dxa" w:w="5400"/>
          </w:tcPr>
          <w:p>
            <w:pPr>
              <w:spacing w:after="0" w:before="0" w:line="240" w:lineRule="auto"/>
              <w:jc w:val="left"/>
            </w:pPr>
            <w:r>
              <w:t>Open defects</w:t>
            </w:r>
          </w:p>
        </w:tc>
        <w:tc>
          <w:tcPr>
            <w:tcW w:type="dxa" w:w="5400"/>
          </w:tcPr>
          <w:p>
            <w:pPr>
              <w:spacing w:after="0" w:before="0" w:line="240" w:lineRule="auto"/>
              <w:jc w:val="left"/>
            </w:pPr>
            <w:r>
              <w:t>Unresolved traceability issues</w:t>
            </w:r>
          </w:p>
        </w:tc>
      </w:tr>
    </w:tbl>
    <w:p/>
    <w:p>
      <w:pPr>
        <w:pStyle w:val="Heading2"/>
      </w:pPr>
      <w:r>
        <w:t>19. Practical exercises</w:t>
      </w:r>
    </w:p>
    <w:p>
      <w:pPr>
        <w:pStyle w:val="Heading3"/>
      </w:pPr>
      <w:r>
        <w:t>Exercise 1: Build a station traceability map</w:t>
      </w:r>
    </w:p>
    <w:p>
      <w:r>
        <w:t>Select one BIW station and document:</w:t>
      </w:r>
    </w:p>
    <w:p>
      <w:pPr>
        <w:pStyle w:val="ListBullet"/>
      </w:pPr>
      <w:r>
        <w:t>The product identification source.</w:t>
      </w:r>
    </w:p>
    <w:p>
      <w:pPr>
        <w:pStyle w:val="ListBullet"/>
      </w:pPr>
      <w:r>
        <w:t>The PLC tags involved in identity and station sequence.</w:t>
      </w:r>
    </w:p>
    <w:p>
      <w:pPr>
        <w:pStyle w:val="ListBullet"/>
      </w:pPr>
      <w:r>
        <w:t>The equipment that generates process results.</w:t>
      </w:r>
    </w:p>
    <w:p>
      <w:pPr>
        <w:pStyle w:val="ListBullet"/>
      </w:pPr>
      <w:r>
        <w:t>The required event and result fields.</w:t>
      </w:r>
    </w:p>
    <w:p>
      <w:pPr>
        <w:pStyle w:val="ListBullet"/>
      </w:pPr>
      <w:r>
        <w:t>The database or MES destination.</w:t>
      </w:r>
    </w:p>
    <w:p>
      <w:pPr>
        <w:pStyle w:val="ListBullet"/>
      </w:pPr>
      <w:r>
        <w:t>The failure behavior for missing identity or result.</w:t>
      </w:r>
    </w:p>
    <w:p>
      <w:pPr>
        <w:pStyle w:val="Heading3"/>
      </w:pPr>
      <w:r>
        <w:t>Exercise 2: Validate record completeness</w:t>
      </w:r>
    </w:p>
    <w:p>
      <w:r>
        <w:t>For a defined sample of production records, compare expected operations with stored events. Identify missing results, duplicates, incorrect program associations, and identity mismatches.</w:t>
      </w:r>
    </w:p>
    <w:p>
      <w:pPr>
        <w:pStyle w:val="Heading3"/>
      </w:pPr>
      <w:r>
        <w:t>Exercise 3: Simulate an interrupted data connection</w:t>
      </w:r>
    </w:p>
    <w:p>
      <w:r>
        <w:t>In an authorized test environment, interrupt the data connection and observe how events are buffered, retried, acknowledged, and reconciled. Verify that event identities remain stable and no results disappear or become duplicated.</w:t>
      </w:r>
    </w:p>
    <w:p>
      <w:pPr>
        <w:pStyle w:val="Heading3"/>
      </w:pPr>
      <w:r>
        <w:t>Exercise 4: Conduct a genealogy investigation</w:t>
      </w:r>
    </w:p>
    <w:p>
      <w:r>
        <w:t>Start from a sample component lot and determine whether the available data can identify every linked parent assembly within the defined scope. Document incomplete relationships and the approved response to uncertainty.</w:t>
      </w:r>
    </w:p>
    <w:p>
      <w:pPr>
        <w:pStyle w:val="Heading2"/>
      </w:pPr>
      <w:r>
        <w:t>20. Competency checklist</w:t>
      </w:r>
    </w:p>
    <w:p>
      <w:pPr>
        <w:pStyle w:val="ListBullet"/>
      </w:pPr>
      <w:r>
        <w:t>Explain forward, backward, process, and genealogy traceability.</w:t>
      </w:r>
    </w:p>
    <w:p>
      <w:pPr>
        <w:pStyle w:val="ListBullet"/>
      </w:pPr>
      <w:r>
        <w:t>Distinguish product ID, component ID, carrier ID, event ID, and recipe ID.</w:t>
      </w:r>
    </w:p>
    <w:p>
      <w:pPr>
        <w:pStyle w:val="ListBullet"/>
      </w:pPr>
      <w:r>
        <w:t>Explain how PLCs, controllers, databases, MES, and ERP contribute to traceability.</w:t>
      </w:r>
    </w:p>
    <w:p>
      <w:pPr>
        <w:pStyle w:val="ListBullet"/>
      </w:pPr>
      <w:r>
        <w:t>Design a basic event and result data model.</w:t>
      </w:r>
    </w:p>
    <w:p>
      <w:pPr>
        <w:pStyle w:val="ListBullet"/>
      </w:pPr>
      <w:r>
        <w:t>Understand duplicate protection and idempotent event processing.</w:t>
      </w:r>
    </w:p>
    <w:p>
      <w:pPr>
        <w:pStyle w:val="ListBullet"/>
      </w:pPr>
      <w:r>
        <w:t>Diagnose missing, stale, duplicate, or incorrectly associated results.</w:t>
      </w:r>
    </w:p>
    <w:p>
      <w:pPr>
        <w:pStyle w:val="ListBullet"/>
      </w:pPr>
      <w:r>
        <w:t>Explain timestamps, sequence identifiers, and synchronization concerns.</w:t>
      </w:r>
    </w:p>
    <w:p>
      <w:pPr>
        <w:pStyle w:val="ListBullet"/>
      </w:pPr>
      <w:r>
        <w:t>Understand offline buffering and reconciliation.</w:t>
      </w:r>
    </w:p>
    <w:p>
      <w:pPr>
        <w:pStyle w:val="ListBullet"/>
      </w:pPr>
      <w:r>
        <w:t>Support a defect-containment investigation using genealogy.</w:t>
      </w:r>
    </w:p>
    <w:p>
      <w:pPr>
        <w:pStyle w:val="ListBullet"/>
      </w:pPr>
      <w:r>
        <w:t>Maintain approved data mappings, backups, access controls, and audit history.</w:t>
      </w:r>
    </w:p>
    <w:p>
      <w:pPr>
        <w:pStyle w:val="ListBullet"/>
      </w:pPr>
      <w:r>
        <w:t>Verify that required records are complete before production release.</w:t>
      </w:r>
    </w:p>
    <w:p>
      <w:r>
        <w:t>The central rule is simple: every required process result must be linked to the correct physical product and the correct operation, with enough reliable history to reconstruct what happened.</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02_PLAN_WISE_2026\02_INDUSTRY3_0\29_Line_Systems\01_BIW\12_Robot_PLC_Handshake - Robot-PLC handshake</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BIW Traceability Systems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