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Barcode Systems in CNC Machining</w:t>
      </w:r>
    </w:p>
    <w:p>
      <w:pPr>
        <w:pStyle w:val="Heading2"/>
      </w:pPr>
      <w:r>
        <w:t>1. Purpose and scope</w:t>
      </w:r>
    </w:p>
    <w:p>
      <w:r>
        <w:t>Barcode systems identify parts, tools, fixtures, containers, production orders, and manufacturing records using machine-readable codes. In CNC machining, barcode identification connects a physical component to its production history, inspection results, machine program, tool information, and downstream operations.</w:t>
      </w:r>
    </w:p>
    <w:p>
      <w:r>
        <w:t>A barcode is not a measurement and does not prove that a component meets specifications. It provides an identifier that a production or quality system can use to retrieve, validate, or record information.</w:t>
      </w:r>
    </w:p>
    <w:p>
      <w:r>
        <w:t>Typical purposes include:</w:t>
      </w:r>
    </w:p>
    <w:p>
      <w:pPr>
        <w:pStyle w:val="ListBullet"/>
      </w:pPr>
      <w:r>
        <w:t>Part identification: Distinguish part numbers, variants, serial numbers, and batches.</w:t>
      </w:r>
    </w:p>
    <w:p>
      <w:pPr>
        <w:pStyle w:val="ListBullet"/>
      </w:pPr>
      <w:r>
        <w:t>Production tracking: Record which operation a part has completed.</w:t>
      </w:r>
    </w:p>
    <w:p>
      <w:pPr>
        <w:pStyle w:val="ListBullet"/>
      </w:pPr>
      <w:r>
        <w:t>Program verification: Confirm that the selected CNC program is approved for the identified part and operation.</w:t>
      </w:r>
    </w:p>
    <w:p>
      <w:pPr>
        <w:pStyle w:val="ListBullet"/>
      </w:pPr>
      <w:r>
        <w:t>Tool and fixture management: Identify tool assemblies, tool holders, fixtures, and related records.</w:t>
      </w:r>
    </w:p>
    <w:p>
      <w:pPr>
        <w:pStyle w:val="ListBullet"/>
      </w:pPr>
      <w:r>
        <w:t>Quality traceability: Link inspection and gauging results to individual parts or batches.</w:t>
      </w:r>
    </w:p>
    <w:p>
      <w:pPr>
        <w:pStyle w:val="ListBullet"/>
      </w:pPr>
      <w:r>
        <w:t>Material tracking: Associate raw material, supplier batch, and heat or lot information with machined components.</w:t>
      </w:r>
    </w:p>
    <w:p>
      <w:pPr>
        <w:pStyle w:val="ListBullet"/>
      </w:pPr>
      <w:r>
        <w:t>Inventory control: Track components, tooling, consumables, and work-in-progress.</w:t>
      </w:r>
    </w:p>
    <w:p>
      <w:pPr>
        <w:pStyle w:val="ListBullet"/>
      </w:pPr>
      <w:r>
        <w:t>Error prevention: Detect incorrect part loading or production routing before machining begins.</w:t>
      </w:r>
    </w:p>
    <w:p>
      <w:r>
        <w:t>A barcode system is useful only when the code is correctly assigned, readable, validated against the intended operation, and connected to reliable production records.</w:t>
      </w:r>
    </w:p>
    <w:p>
      <w:pPr>
        <w:pStyle w:val="Heading2"/>
      </w:pPr>
      <w:r>
        <w:t>2. Barcode fundamentals</w:t>
      </w:r>
    </w:p>
    <w:p>
      <w:r>
        <w:t>A barcode represents information through a pattern of bars and spaces or through a two-dimensional arrangement of modules. A reader converts the pattern into digital data that an application can process.</w:t>
      </w:r>
    </w:p>
    <w:p>
      <w:r>
        <w:t>A typical barcode workflow is:</w:t>
      </w:r>
    </w:p>
    <w:p>
      <w:pPr>
        <w:shd w:val="clear" w:color="auto" w:fill="F4F4F4"/>
        <w:spacing w:before="0" w:after="0" w:line="240" w:lineRule="auto"/>
        <w:ind w:left="216" w:right="216"/>
        <w:jc w:val="left"/>
      </w:pPr>
      <w:r>
        <w:rPr>
          <w:rFonts w:ascii="Consolas" w:hAnsi="Consolas"/>
          <w:color w:val="202020"/>
          <w:sz w:val="18"/>
        </w:rPr>
        <w:t>Barcode printed or marked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or reader captures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Decoded identifier sent to controller or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Identifier validated against expected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operation authorized or rejected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and traceability record stored</w:t>
      </w:r>
    </w:p>
    <w:p/>
    <w:p>
      <w:r>
        <w:t xml:space="preserve">The scanner does not necessarily understand the meaning of the decoded value. For example, it may read </w:t>
      </w:r>
      <w:r>
        <w:rPr>
          <w:rFonts w:ascii="Consolas" w:hAnsi="Consolas"/>
          <w:color w:val="333333"/>
          <w:sz w:val="19"/>
          <w:shd w:val="clear" w:color="auto" w:fill="EFEFEF"/>
        </w:rPr>
        <w:t>PART-A123-00045</w:t>
      </w:r>
      <w:r>
        <w:t xml:space="preserve"> successfully, but another application must determine whether that part belongs at the current machine, whether its program is correct, and whether the operation is permitted.</w:t>
      </w:r>
    </w:p>
    <w:p>
      <w:pPr>
        <w:pStyle w:val="Heading2"/>
      </w:pPr>
      <w:r>
        <w:t>3. Barcode types used in manufacturing</w:t>
      </w:r>
    </w:p>
    <w:p>
      <w:pPr>
        <w:pStyle w:val="Heading3"/>
      </w:pPr>
      <w:r>
        <w:t>3.1 Linear barcodes</w:t>
      </w:r>
    </w:p>
    <w:p>
      <w:r>
        <w:t>Linear barcodes encode data along one dimension. They are commonly used for labels, containers, inventory, and production paperwork.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Barcode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Code 128</w:t>
            </w:r>
          </w:p>
        </w:tc>
        <w:tc>
          <w:tcPr>
            <w:tcW w:type="dxa" w:w="3600"/>
          </w:tcPr>
          <w:p>
            <w:pPr>
              <w:spacing w:after="0" w:before="0" w:line="240" w:lineRule="auto"/>
              <w:jc w:val="left"/>
            </w:pPr>
            <w:r>
              <w:t>Industrial labels and production identification</w:t>
            </w:r>
          </w:p>
        </w:tc>
        <w:tc>
          <w:tcPr>
            <w:tcW w:type="dxa" w:w="3600"/>
          </w:tcPr>
          <w:p>
            <w:pPr>
              <w:spacing w:after="0" w:before="0" w:line="240" w:lineRule="auto"/>
              <w:jc w:val="left"/>
            </w:pPr>
            <w:r>
              <w:t>Supports a broad range of characters</w:t>
            </w:r>
          </w:p>
        </w:tc>
      </w:tr>
      <w:tr>
        <w:tc>
          <w:tcPr>
            <w:tcW w:type="dxa" w:w="3600"/>
          </w:tcPr>
          <w:p>
            <w:pPr>
              <w:spacing w:after="0" w:before="0" w:line="240" w:lineRule="auto"/>
              <w:jc w:val="left"/>
            </w:pPr>
            <w:r>
              <w:t>Code 39</w:t>
            </w:r>
          </w:p>
        </w:tc>
        <w:tc>
          <w:tcPr>
            <w:tcW w:type="dxa" w:w="3600"/>
          </w:tcPr>
          <w:p>
            <w:pPr>
              <w:spacing w:after="0" w:before="0" w:line="240" w:lineRule="auto"/>
              <w:jc w:val="left"/>
            </w:pPr>
            <w:r>
              <w:t>Equipment, inventory, and industrial identification</w:t>
            </w:r>
          </w:p>
        </w:tc>
        <w:tc>
          <w:tcPr>
            <w:tcW w:type="dxa" w:w="3600"/>
          </w:tcPr>
          <w:p>
            <w:pPr>
              <w:spacing w:after="0" w:before="0" w:line="240" w:lineRule="auto"/>
              <w:jc w:val="left"/>
            </w:pPr>
            <w:r>
              <w:t>Character set and data density depend on implementation</w:t>
            </w:r>
          </w:p>
        </w:tc>
      </w:tr>
      <w:tr>
        <w:tc>
          <w:tcPr>
            <w:tcW w:type="dxa" w:w="3600"/>
          </w:tcPr>
          <w:p>
            <w:pPr>
              <w:spacing w:after="0" w:before="0" w:line="240" w:lineRule="auto"/>
              <w:jc w:val="left"/>
            </w:pPr>
            <w:r>
              <w:t>EAN/UPC</w:t>
            </w:r>
          </w:p>
        </w:tc>
        <w:tc>
          <w:tcPr>
            <w:tcW w:type="dxa" w:w="3600"/>
          </w:tcPr>
          <w:p>
            <w:pPr>
              <w:spacing w:after="0" w:before="0" w:line="240" w:lineRule="auto"/>
              <w:jc w:val="left"/>
            </w:pPr>
            <w:r>
              <w:t>Standardized retail identification</w:t>
            </w:r>
          </w:p>
        </w:tc>
        <w:tc>
          <w:tcPr>
            <w:tcW w:type="dxa" w:w="3600"/>
          </w:tcPr>
          <w:p>
            <w:pPr>
              <w:spacing w:after="0" w:before="0" w:line="240" w:lineRule="auto"/>
              <w:jc w:val="left"/>
            </w:pPr>
            <w:r>
              <w:t>Intended for defined retail identification systems</w:t>
            </w:r>
          </w:p>
        </w:tc>
      </w:tr>
      <w:tr>
        <w:tc>
          <w:tcPr>
            <w:tcW w:type="dxa" w:w="3600"/>
          </w:tcPr>
          <w:p>
            <w:pPr>
              <w:spacing w:after="0" w:before="0" w:line="240" w:lineRule="auto"/>
              <w:jc w:val="left"/>
            </w:pPr>
            <w:r>
              <w:t>Interleaved 2 of 5</w:t>
            </w:r>
          </w:p>
        </w:tc>
        <w:tc>
          <w:tcPr>
            <w:tcW w:type="dxa" w:w="3600"/>
          </w:tcPr>
          <w:p>
            <w:pPr>
              <w:spacing w:after="0" w:before="0" w:line="240" w:lineRule="auto"/>
              <w:jc w:val="left"/>
            </w:pPr>
            <w:r>
              <w:t>Some logistics and packaging applications</w:t>
            </w:r>
          </w:p>
        </w:tc>
        <w:tc>
          <w:tcPr>
            <w:tcW w:type="dxa" w:w="3600"/>
          </w:tcPr>
          <w:p>
            <w:pPr>
              <w:spacing w:after="0" w:before="0" w:line="240" w:lineRule="auto"/>
              <w:jc w:val="left"/>
            </w:pPr>
            <w:r>
              <w:t>Data format and check rules must match the application</w:t>
            </w:r>
          </w:p>
        </w:tc>
      </w:tr>
    </w:tbl>
    <w:p/>
    <w:p>
      <w:r>
        <w:t>For CNC production, Code 128 may be suitable for identifiers containing letters and numbers, provided the printer, scanner, software, and label design support the required format.</w:t>
      </w:r>
    </w:p>
    <w:p>
      <w:pPr>
        <w:pStyle w:val="Heading3"/>
      </w:pPr>
      <w:r>
        <w:t>3.2 Two-dimensional codes</w:t>
      </w:r>
    </w:p>
    <w:p>
      <w:r>
        <w:t>Two-dimensional codes store information in a matrix or other two-dimensional pattern. They can often encode more information in a smaller area than a linear barcode.</w:t>
      </w:r>
    </w:p>
    <w:p>
      <w:r>
        <w:t>\&lt;PRIVATE_PERSON&gt;Common two-dimensional formats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Code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Data Matrix</w:t>
            </w:r>
          </w:p>
        </w:tc>
        <w:tc>
          <w:tcPr>
            <w:tcW w:type="dxa" w:w="3600"/>
          </w:tcPr>
          <w:p>
            <w:pPr>
              <w:spacing w:after="0" w:before="0" w:line="240" w:lineRule="auto"/>
              <w:jc w:val="left"/>
            </w:pPr>
            <w:r>
              <w:t>Small components, direct part marking, industrial traceability</w:t>
            </w:r>
          </w:p>
        </w:tc>
        <w:tc>
          <w:tcPr>
            <w:tcW w:type="dxa" w:w="3600"/>
          </w:tcPr>
          <w:p>
            <w:pPr>
              <w:spacing w:after="0" w:before="0" w:line="240" w:lineRule="auto"/>
              <w:jc w:val="left"/>
            </w:pPr>
            <w:r>
              <w:t>Often suitable for compact identification on metal parts</w:t>
            </w:r>
          </w:p>
        </w:tc>
      </w:tr>
      <w:tr>
        <w:tc>
          <w:tcPr>
            <w:tcW w:type="dxa" w:w="3600"/>
          </w:tcPr>
          <w:p>
            <w:pPr>
              <w:spacing w:after="0" w:before="0" w:line="240" w:lineRule="auto"/>
              <w:jc w:val="left"/>
            </w:pPr>
            <w:r>
              <w:t>QR Code</w:t>
            </w:r>
          </w:p>
        </w:tc>
        <w:tc>
          <w:tcPr>
            <w:tcW w:type="dxa" w:w="3600"/>
          </w:tcPr>
          <w:p>
            <w:pPr>
              <w:spacing w:after="0" w:before="0" w:line="240" w:lineRule="auto"/>
              <w:jc w:val="left"/>
            </w:pPr>
            <w:r>
              <w:t>Work instructions, service records, production information</w:t>
            </w:r>
          </w:p>
        </w:tc>
        <w:tc>
          <w:tcPr>
            <w:tcW w:type="dxa" w:w="3600"/>
          </w:tcPr>
          <w:p>
            <w:pPr>
              <w:spacing w:after="0" w:before="0" w:line="240" w:lineRule="auto"/>
              <w:jc w:val="left"/>
            </w:pPr>
            <w:r>
              <w:t>Readability depends on code size, contrast, damage, and reader capability</w:t>
            </w:r>
          </w:p>
        </w:tc>
      </w:tr>
      <w:tr>
        <w:tc>
          <w:tcPr>
            <w:tcW w:type="dxa" w:w="3600"/>
          </w:tcPr>
          <w:p>
            <w:pPr>
              <w:spacing w:after="0" w:before="0" w:line="240" w:lineRule="auto"/>
              <w:jc w:val="left"/>
            </w:pPr>
            <w:r>
              <w:t>PDF417</w:t>
            </w:r>
          </w:p>
        </w:tc>
        <w:tc>
          <w:tcPr>
            <w:tcW w:type="dxa" w:w="3600"/>
          </w:tcPr>
          <w:p>
            <w:pPr>
              <w:spacing w:after="0" w:before="0" w:line="240" w:lineRule="auto"/>
              <w:jc w:val="left"/>
            </w:pPr>
            <w:r>
              <w:t>Documents, logistics, and selected identification applications</w:t>
            </w:r>
          </w:p>
        </w:tc>
        <w:tc>
          <w:tcPr>
            <w:tcW w:type="dxa" w:w="3600"/>
          </w:tcPr>
          <w:p>
            <w:pPr>
              <w:spacing w:after="0" w:before="0" w:line="240" w:lineRule="auto"/>
              <w:jc w:val="left"/>
            </w:pPr>
            <w:r>
              <w:t>Requires compatible readers and software</w:t>
            </w:r>
          </w:p>
        </w:tc>
      </w:tr>
    </w:tbl>
    <w:p/>
    <w:p>
      <w:r>
        <w:t>Data Matrix is particularly relevant in manufacturing because it can be marked on small components and read by suitable industrial imaging systems. However, successful reading depends on the marking method, surface condition, code quality, lighting, and reader capability.</w:t>
      </w:r>
    </w:p>
    <w:p>
      <w:r>
        <w:t>A QR Code is not automatically better than a Data Matrix code. Selection should be based on data requirements, marking space, scanner compatibility, expected environment, and the relevant customer or industry standard.</w:t>
      </w:r>
    </w:p>
    <w:p>
      <w:pPr>
        <w:pStyle w:val="Heading2"/>
      </w:pPr>
      <w:r>
        <w:t>4. Barcode versus RFID</w:t>
      </w:r>
    </w:p>
    <w:p>
      <w:r>
        <w:t>Barcode systems use optical reading. Radio-frequency identification (RFID) uses radio communication between a reader and an electronic tag.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Barcode</w:t>
            </w:r>
          </w:p>
        </w:tc>
        <w:tc>
          <w:tcPr>
            <w:tcW w:type="dxa" w:w="3600"/>
            <w:shd w:val="clear" w:color="auto" w:fill="EEF2F7"/>
          </w:tcPr>
          <w:p>
            <w:pPr>
              <w:spacing w:after="0" w:before="0" w:line="240" w:lineRule="auto"/>
              <w:jc w:val="left"/>
            </w:pPr>
            <w:r>
              <w:rPr>
                <w:b/>
                <w:color w:val="1A2E4A"/>
              </w:rPr>
              <w:t>RFID</w:t>
            </w:r>
          </w:p>
        </w:tc>
      </w:tr>
      <w:tr>
        <w:tc>
          <w:tcPr>
            <w:tcW w:type="dxa" w:w="3600"/>
          </w:tcPr>
          <w:p>
            <w:pPr>
              <w:spacing w:after="0" w:before="0" w:line="240" w:lineRule="auto"/>
              <w:jc w:val="left"/>
            </w:pPr>
            <w:r>
              <w:t>Reading method</w:t>
            </w:r>
          </w:p>
        </w:tc>
        <w:tc>
          <w:tcPr>
            <w:tcW w:type="dxa" w:w="3600"/>
          </w:tcPr>
          <w:p>
            <w:pPr>
              <w:spacing w:after="0" w:before="0" w:line="240" w:lineRule="auto"/>
              <w:jc w:val="left"/>
            </w:pPr>
            <w:r>
              <w:t>Optical</w:t>
            </w:r>
          </w:p>
        </w:tc>
        <w:tc>
          <w:tcPr>
            <w:tcW w:type="dxa" w:w="3600"/>
          </w:tcPr>
          <w:p>
            <w:pPr>
              <w:spacing w:after="0" w:before="0" w:line="240" w:lineRule="auto"/>
              <w:jc w:val="left"/>
            </w:pPr>
            <w:r>
              <w:t>Radio frequency</w:t>
            </w:r>
          </w:p>
        </w:tc>
      </w:tr>
      <w:tr>
        <w:tc>
          <w:tcPr>
            <w:tcW w:type="dxa" w:w="3600"/>
          </w:tcPr>
          <w:p>
            <w:pPr>
              <w:spacing w:after="0" w:before="0" w:line="240" w:lineRule="auto"/>
              <w:jc w:val="left"/>
            </w:pPr>
            <w:r>
              <w:t>Line of sight</w:t>
            </w:r>
          </w:p>
        </w:tc>
        <w:tc>
          <w:tcPr>
            <w:tcW w:type="dxa" w:w="3600"/>
          </w:tcPr>
          <w:p>
            <w:pPr>
              <w:spacing w:after="0" w:before="0" w:line="240" w:lineRule="auto"/>
              <w:jc w:val="left"/>
            </w:pPr>
            <w:r>
              <w:t>Usually required for optical capture</w:t>
            </w:r>
          </w:p>
        </w:tc>
        <w:tc>
          <w:tcPr>
            <w:tcW w:type="dxa" w:w="3600"/>
          </w:tcPr>
          <w:p>
            <w:pPr>
              <w:spacing w:after="0" w:before="0" w:line="240" w:lineRule="auto"/>
              <w:jc w:val="left"/>
            </w:pPr>
            <w:r>
              <w:t>Often not required, depending on the system</w:t>
            </w:r>
          </w:p>
        </w:tc>
      </w:tr>
      <w:tr>
        <w:tc>
          <w:tcPr>
            <w:tcW w:type="dxa" w:w="3600"/>
          </w:tcPr>
          <w:p>
            <w:pPr>
              <w:spacing w:after="0" w:before="0" w:line="240" w:lineRule="auto"/>
              <w:jc w:val="left"/>
            </w:pPr>
            <w:r>
              <w:t>Tag cost</w:t>
            </w:r>
          </w:p>
        </w:tc>
        <w:tc>
          <w:tcPr>
            <w:tcW w:type="dxa" w:w="3600"/>
          </w:tcPr>
          <w:p>
            <w:pPr>
              <w:spacing w:after="0" w:before="0" w:line="240" w:lineRule="auto"/>
              <w:jc w:val="left"/>
            </w:pPr>
            <w:r>
              <w:t>Generally low</w:t>
            </w:r>
          </w:p>
        </w:tc>
        <w:tc>
          <w:tcPr>
            <w:tcW w:type="dxa" w:w="3600"/>
          </w:tcPr>
          <w:p>
            <w:pPr>
              <w:spacing w:after="0" w:before="0" w:line="240" w:lineRule="auto"/>
              <w:jc w:val="left"/>
            </w:pPr>
            <w:r>
              <w:t>Usually higher than a printed label</w:t>
            </w:r>
          </w:p>
        </w:tc>
      </w:tr>
      <w:tr>
        <w:tc>
          <w:tcPr>
            <w:tcW w:type="dxa" w:w="3600"/>
          </w:tcPr>
          <w:p>
            <w:pPr>
              <w:spacing w:after="0" w:before="0" w:line="240" w:lineRule="auto"/>
              <w:jc w:val="left"/>
            </w:pPr>
            <w:r>
              <w:t>Surface contamination</w:t>
            </w:r>
          </w:p>
        </w:tc>
        <w:tc>
          <w:tcPr>
            <w:tcW w:type="dxa" w:w="3600"/>
          </w:tcPr>
          <w:p>
            <w:pPr>
              <w:spacing w:after="0" w:before="0" w:line="240" w:lineRule="auto"/>
              <w:jc w:val="left"/>
            </w:pPr>
            <w:r>
              <w:t>Dirt or damage can make the code unreadable</w:t>
            </w:r>
          </w:p>
        </w:tc>
        <w:tc>
          <w:tcPr>
            <w:tcW w:type="dxa" w:w="3600"/>
          </w:tcPr>
          <w:p>
            <w:pPr>
              <w:spacing w:after="0" w:before="0" w:line="240" w:lineRule="auto"/>
              <w:jc w:val="left"/>
            </w:pPr>
            <w:r>
              <w:t>Performance depends on tag design, mounting, and RF conditions</w:t>
            </w:r>
          </w:p>
        </w:tc>
      </w:tr>
      <w:tr>
        <w:tc>
          <w:tcPr>
            <w:tcW w:type="dxa" w:w="3600"/>
          </w:tcPr>
          <w:p>
            <w:pPr>
              <w:spacing w:after="0" w:before="0" w:line="240" w:lineRule="auto"/>
              <w:jc w:val="left"/>
            </w:pPr>
            <w:r>
              <w:t>Multiple-item identification</w:t>
            </w:r>
          </w:p>
        </w:tc>
        <w:tc>
          <w:tcPr>
            <w:tcW w:type="dxa" w:w="3600"/>
          </w:tcPr>
          <w:p>
            <w:pPr>
              <w:spacing w:after="0" w:before="0" w:line="240" w:lineRule="auto"/>
              <w:jc w:val="left"/>
            </w:pPr>
            <w:r>
              <w:t>Usually requires individual optical reads</w:t>
            </w:r>
          </w:p>
        </w:tc>
        <w:tc>
          <w:tcPr>
            <w:tcW w:type="dxa" w:w="3600"/>
          </w:tcPr>
          <w:p>
            <w:pPr>
              <w:spacing w:after="0" w:before="0" w:line="240" w:lineRule="auto"/>
              <w:jc w:val="left"/>
            </w:pPr>
            <w:r>
              <w:t>Some systems can identify multiple tags in a reading zone</w:t>
            </w:r>
          </w:p>
        </w:tc>
      </w:tr>
      <w:tr>
        <w:tc>
          <w:tcPr>
            <w:tcW w:type="dxa" w:w="3600"/>
          </w:tcPr>
          <w:p>
            <w:pPr>
              <w:spacing w:after="0" w:before="0" w:line="240" w:lineRule="auto"/>
              <w:jc w:val="left"/>
            </w:pPr>
            <w:r>
              <w:t>Data storage</w:t>
            </w:r>
          </w:p>
        </w:tc>
        <w:tc>
          <w:tcPr>
            <w:tcW w:type="dxa" w:w="3600"/>
          </w:tcPr>
          <w:p>
            <w:pPr>
              <w:spacing w:after="0" w:before="0" w:line="240" w:lineRule="auto"/>
              <w:jc w:val="left"/>
            </w:pPr>
            <w:r>
              <w:t>Encoded identifier or data</w:t>
            </w:r>
          </w:p>
        </w:tc>
        <w:tc>
          <w:tcPr>
            <w:tcW w:type="dxa" w:w="3600"/>
          </w:tcPr>
          <w:p>
            <w:pPr>
              <w:spacing w:after="0" w:before="0" w:line="240" w:lineRule="auto"/>
              <w:jc w:val="left"/>
            </w:pPr>
            <w:r>
              <w:t>Identifier and, depending on tag type, additional stored data</w:t>
            </w:r>
          </w:p>
        </w:tc>
      </w:tr>
      <w:tr>
        <w:tc>
          <w:tcPr>
            <w:tcW w:type="dxa" w:w="3600"/>
          </w:tcPr>
          <w:p>
            <w:pPr>
              <w:spacing w:after="0" w:before="0" w:line="240" w:lineRule="auto"/>
              <w:jc w:val="left"/>
            </w:pPr>
            <w:r>
              <w:t>CNC application</w:t>
            </w:r>
          </w:p>
        </w:tc>
        <w:tc>
          <w:tcPr>
            <w:tcW w:type="dxa" w:w="3600"/>
          </w:tcPr>
          <w:p>
            <w:pPr>
              <w:spacing w:after="0" w:before="0" w:line="240" w:lineRule="auto"/>
              <w:jc w:val="left"/>
            </w:pPr>
            <w:r>
              <w:t>Part labels, program verification, tool and batch identification</w:t>
            </w:r>
          </w:p>
        </w:tc>
        <w:tc>
          <w:tcPr>
            <w:tcW w:type="dxa" w:w="3600"/>
          </w:tcPr>
          <w:p>
            <w:pPr>
              <w:spacing w:after="0" w:before="0" w:line="240" w:lineRule="auto"/>
              <w:jc w:val="left"/>
            </w:pPr>
            <w:r>
              <w:t>Pallets, fixtures, tool carriers, and automated material tracking</w:t>
            </w:r>
          </w:p>
        </w:tc>
      </w:tr>
    </w:tbl>
    <w:p/>
    <w:p>
      <w:r>
        <w:t>RFID is not universally superior. Metal surfaces, liquids, electromagnetic conditions, tag mounting, and reading-zone design can affect performance. Barcode systems remain attractive where low cost, simple maintenance, and visual identification are sufficient.</w:t>
      </w:r>
    </w:p>
    <w:p>
      <w:pPr>
        <w:pStyle w:val="Heading2"/>
      </w:pPr>
      <w:r>
        <w:t>5. Barcode system architecture</w:t>
      </w:r>
    </w:p>
    <w:p>
      <w:r>
        <w:t>A CNC barcode system commonly consists of a code, a marking or printing method, a reader, an interface, validation logic, and a production information system.</w:t>
      </w:r>
    </w:p>
    <w:p>
      <w:pPr>
        <w:shd w:val="clear" w:color="auto" w:fill="F4F4F4"/>
        <w:spacing w:before="0" w:after="0" w:line="240" w:lineRule="auto"/>
        <w:ind w:left="216" w:right="216"/>
        <w:jc w:val="left"/>
      </w:pPr>
      <w:r>
        <w:rPr>
          <w:rFonts w:ascii="Consolas" w:hAnsi="Consolas"/>
          <w:color w:val="202020"/>
          <w:sz w:val="18"/>
        </w:rPr>
        <w:t>Part / tool / fixture / container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Barcode or 2D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Scanner / vision reader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Reader interface or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Validation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 MES / database / ERP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Production result and traceability</w:t>
      </w:r>
    </w:p>
    <w:p/>
    <w:p>
      <w:r>
        <w:t>The actual architecture depends on the equipment and plant design. A scanner may communicate directly with a PC, connect to a PLC, send data over an industrial Ethernet connection, or use a serial interface. Some readers emulate keyboard input, which is convenient for manual entry but requires care when used in automated production.</w:t>
      </w:r>
    </w:p>
    <w:p>
      <w:pPr>
        <w:pStyle w:val="Heading3"/>
      </w:pPr>
      <w:r>
        <w:t>5.1 Main components</w:t>
      </w:r>
    </w:p>
    <w:p>
      <w:pPr>
        <w:pStyle w:val="ListBullet"/>
      </w:pPr>
      <w:r>
        <w:t>Code carrier: Label, etched mark, laser mark, printed tag, or other approved marking.</w:t>
      </w:r>
    </w:p>
    <w:p>
      <w:pPr>
        <w:pStyle w:val="ListBullet"/>
      </w:pPr>
      <w:r>
        <w:t>Reader: Handheld scanner, fixed scanner, or industrial vision reader.</w:t>
      </w:r>
    </w:p>
    <w:p>
      <w:pPr>
        <w:pStyle w:val="ListBullet"/>
      </w:pPr>
      <w:r>
        <w:t>Lighting and optics: Important for imaging readers and direct part marking.</w:t>
      </w:r>
    </w:p>
    <w:p>
      <w:pPr>
        <w:pStyle w:val="ListBullet"/>
      </w:pPr>
      <w:r>
        <w:t>Interface: USB, serial communication, Ethernet, industrial Ethernet, or digital I/O, depending on the device.</w:t>
      </w:r>
    </w:p>
    <w:p>
      <w:pPr>
        <w:pStyle w:val="ListBullet"/>
      </w:pPr>
      <w:r>
        <w:t>PLC or application: Receives the decoded value and applies the required control logic.</w:t>
      </w:r>
    </w:p>
    <w:p>
      <w:pPr>
        <w:pStyle w:val="ListBullet"/>
      </w:pPr>
      <w:r>
        <w:t>Production database: Stores part identity, route, process results, and traceability data.</w:t>
      </w:r>
    </w:p>
    <w:p>
      <w:pPr>
        <w:pStyle w:val="ListBullet"/>
      </w:pPr>
      <w:r>
        <w:t>HMI: Displays the scanned identifier, validation result, and recovery instructions.</w:t>
      </w:r>
    </w:p>
    <w:p>
      <w:pPr>
        <w:pStyle w:val="ListBullet"/>
      </w:pPr>
      <w:r>
        <w:t>Reject or interlock mechanism: Prevents an incorrect or unverified part from proceeding where required by the risk assessment.</w:t>
      </w:r>
    </w:p>
    <w:p>
      <w:pPr>
        <w:pStyle w:val="Heading2"/>
      </w:pPr>
      <w:r>
        <w:t>6. Barcode identification and data design</w:t>
      </w:r>
    </w:p>
    <w:p>
      <w:r>
        <w:t>Barcode data must have a defined meaning. A code should not be treated as an arbitrary string that operators or applications interpret differently.</w:t>
      </w:r>
    </w:p>
    <w:p>
      <w:r>
        <w:t>Common identifier categories include:</w:t>
      </w:r>
    </w:p>
    <w:p>
      <w:pPr>
        <w:pStyle w:val="ListBullet"/>
      </w:pPr>
      <w:r>
        <w:t>Part number.</w:t>
      </w:r>
    </w:p>
    <w:p>
      <w:pPr>
        <w:pStyle w:val="ListBullet"/>
      </w:pPr>
      <w:r>
        <w:t>Variant or model code.</w:t>
      </w:r>
    </w:p>
    <w:p>
      <w:pPr>
        <w:pStyle w:val="ListBullet"/>
      </w:pPr>
      <w:r>
        <w:t>Serial number.</w:t>
      </w:r>
    </w:p>
    <w:p>
      <w:pPr>
        <w:pStyle w:val="ListBullet"/>
      </w:pPr>
      <w:r>
        <w:t>Batch or lot number.</w:t>
      </w:r>
    </w:p>
    <w:p>
      <w:pPr>
        <w:pStyle w:val="ListBullet"/>
      </w:pPr>
      <w:r>
        <w:t>Work order or production order.</w:t>
      </w:r>
    </w:p>
    <w:p>
      <w:pPr>
        <w:pStyle w:val="ListBullet"/>
      </w:pPr>
      <w:r>
        <w:t>Material or supplier lot.</w:t>
      </w:r>
    </w:p>
    <w:p>
      <w:pPr>
        <w:pStyle w:val="ListBullet"/>
      </w:pPr>
      <w:r>
        <w:t>Tool assembly or tool-holder ID.</w:t>
      </w:r>
    </w:p>
    <w:p>
      <w:pPr>
        <w:pStyle w:val="ListBullet"/>
      </w:pPr>
      <w:r>
        <w:t>Fixture or pallet ID.</w:t>
      </w:r>
    </w:p>
    <w:p>
      <w:pPr>
        <w:pStyle w:val="ListBullet"/>
      </w:pPr>
      <w:r>
        <w:t>Operation or routing reference.</w:t>
      </w:r>
    </w:p>
    <w:p>
      <w:pPr>
        <w:pStyle w:val="Heading3"/>
      </w:pPr>
      <w:r>
        <w:t>6.1 Identifier versus encoded information</w:t>
      </w:r>
    </w:p>
    <w:p>
      <w:r>
        <w:t>A barcode can encode a unique identifier that points to a database record, or it can encode several data elements directly. The appropriate design depends on data volume, reliability, privacy and security needs, and the manufacturing architecture.</w:t>
      </w:r>
    </w:p>
    <w:p>
      <w:r>
        <w:t xml:space="preserve">For example, a code containing </w:t>
      </w:r>
      <w:r>
        <w:rPr>
          <w:rFonts w:ascii="Consolas" w:hAnsi="Consolas"/>
          <w:color w:val="333333"/>
          <w:sz w:val="19"/>
          <w:shd w:val="clear" w:color="auto" w:fill="EFEFEF"/>
        </w:rPr>
        <w:t>PART-A123-00045</w:t>
      </w:r>
      <w:r>
        <w:t xml:space="preserve"> may identify one serialized part. The application can use that identifier to retrieve the part's approved route, program revision, and inspection history.</w:t>
      </w:r>
    </w:p>
    <w:p>
      <w:r>
        <w:t>It is usually safer to keep frequently changing production data in the controlled system of record rather than embedding all such data in the physical code. Otherwise, the code can become stale when a program, route, or order changes.</w:t>
      </w:r>
    </w:p>
    <w:p>
      <w:pPr>
        <w:pStyle w:val="Heading3"/>
      </w:pPr>
      <w:r>
        <w:t>6.2 Unique identification</w:t>
      </w:r>
    </w:p>
    <w:p>
      <w:r>
        <w:t>The identification scheme should distinguish the required entities without accidental duplication.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Entity</w:t>
            </w:r>
          </w:p>
        </w:tc>
        <w:tc>
          <w:tcPr>
            <w:tcW w:type="dxa" w:w="3600"/>
            <w:shd w:val="clear" w:color="auto" w:fill="EEF2F7"/>
          </w:tcPr>
          <w:p>
            <w:pPr>
              <w:spacing w:after="0" w:before="0" w:line="240" w:lineRule="auto"/>
              <w:jc w:val="left"/>
            </w:pPr>
            <w:r>
              <w:rPr>
                <w:b/>
                <w:color w:val="1A2E4A"/>
              </w:rPr>
              <w:t>Example identifier format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Part number</w:t>
            </w:r>
          </w:p>
        </w:tc>
        <w:tc>
          <w:tcPr>
            <w:tcW w:type="dxa" w:w="3600"/>
          </w:tcPr>
          <w:p>
            <w:pPr>
              <w:spacing w:after="0" w:before="0" w:line="240" w:lineRule="auto"/>
              <w:jc w:val="left"/>
            </w:pPr>
            <w:r>
              <w:rPr>
                <w:rFonts w:ascii="Consolas" w:hAnsi="Consolas"/>
                <w:color w:val="333333"/>
                <w:sz w:val="19"/>
                <w:shd w:val="clear" w:color="auto" w:fill="EFEFEF"/>
              </w:rPr>
              <w:t>PART-A123</w:t>
            </w:r>
          </w:p>
        </w:tc>
        <w:tc>
          <w:tcPr>
            <w:tcW w:type="dxa" w:w="3600"/>
          </w:tcPr>
          <w:p>
            <w:pPr>
              <w:spacing w:after="0" w:before="0" w:line="240" w:lineRule="auto"/>
              <w:jc w:val="left"/>
            </w:pPr>
            <w:r>
              <w:t>Identifies the part design</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rPr>
                <w:rFonts w:ascii="Consolas" w:hAnsi="Consolas"/>
                <w:color w:val="333333"/>
                <w:sz w:val="19"/>
                <w:shd w:val="clear" w:color="auto" w:fill="EFEFEF"/>
              </w:rPr>
              <w:t>SN-000045</w:t>
            </w:r>
          </w:p>
        </w:tc>
        <w:tc>
          <w:tcPr>
            <w:tcW w:type="dxa" w:w="3600"/>
          </w:tcPr>
          <w:p>
            <w:pPr>
              <w:spacing w:after="0" w:before="0" w:line="240" w:lineRule="auto"/>
              <w:jc w:val="left"/>
            </w:pPr>
            <w:r>
              <w:t>Identifies an individual part</w:t>
            </w:r>
          </w:p>
        </w:tc>
      </w:tr>
      <w:tr>
        <w:tc>
          <w:tcPr>
            <w:tcW w:type="dxa" w:w="3600"/>
          </w:tcPr>
          <w:p>
            <w:pPr>
              <w:spacing w:after="0" w:before="0" w:line="240" w:lineRule="auto"/>
              <w:jc w:val="left"/>
            </w:pPr>
            <w:r>
              <w:t>Batch number</w:t>
            </w:r>
          </w:p>
        </w:tc>
        <w:tc>
          <w:tcPr>
            <w:tcW w:type="dxa" w:w="3600"/>
          </w:tcPr>
          <w:p>
            <w:pPr>
              <w:spacing w:after="0" w:before="0" w:line="240" w:lineRule="auto"/>
              <w:jc w:val="left"/>
            </w:pPr>
            <w:r>
              <w:rPr>
                <w:rFonts w:ascii="Consolas" w:hAnsi="Consolas"/>
                <w:color w:val="333333"/>
                <w:sz w:val="19"/>
                <w:shd w:val="clear" w:color="auto" w:fill="EFEFEF"/>
              </w:rPr>
              <w:t>LOT-26017</w:t>
            </w:r>
          </w:p>
        </w:tc>
        <w:tc>
          <w:tcPr>
            <w:tcW w:type="dxa" w:w="3600"/>
          </w:tcPr>
          <w:p>
            <w:pPr>
              <w:spacing w:after="0" w:before="0" w:line="240" w:lineRule="auto"/>
              <w:jc w:val="left"/>
            </w:pPr>
            <w:r>
              <w:t>Identifies a production or material batch</w:t>
            </w:r>
          </w:p>
        </w:tc>
      </w:tr>
      <w:tr>
        <w:tc>
          <w:tcPr>
            <w:tcW w:type="dxa" w:w="3600"/>
          </w:tcPr>
          <w:p>
            <w:pPr>
              <w:spacing w:after="0" w:before="0" w:line="240" w:lineRule="auto"/>
              <w:jc w:val="left"/>
            </w:pPr>
            <w:r>
              <w:t>CNC machine</w:t>
            </w:r>
          </w:p>
        </w:tc>
        <w:tc>
          <w:tcPr>
            <w:tcW w:type="dxa" w:w="3600"/>
          </w:tcPr>
          <w:p>
            <w:pPr>
              <w:spacing w:after="0" w:before="0" w:line="240" w:lineRule="auto"/>
              <w:jc w:val="left"/>
            </w:pPr>
            <w:r>
              <w:rPr>
                <w:rFonts w:ascii="Consolas" w:hAnsi="Consolas"/>
                <w:color w:val="333333"/>
                <w:sz w:val="19"/>
                <w:shd w:val="clear" w:color="auto" w:fill="EFEFEF"/>
              </w:rPr>
              <w:t>CNC-05</w:t>
            </w:r>
          </w:p>
        </w:tc>
        <w:tc>
          <w:tcPr>
            <w:tcW w:type="dxa" w:w="3600"/>
          </w:tcPr>
          <w:p>
            <w:pPr>
              <w:spacing w:after="0" w:before="0" w:line="240" w:lineRule="auto"/>
              <w:jc w:val="left"/>
            </w:pPr>
            <w:r>
              <w:t>Identifies the production asset</w:t>
            </w:r>
          </w:p>
        </w:tc>
      </w:tr>
      <w:tr>
        <w:tc>
          <w:tcPr>
            <w:tcW w:type="dxa" w:w="3600"/>
          </w:tcPr>
          <w:p>
            <w:pPr>
              <w:spacing w:after="0" w:before="0" w:line="240" w:lineRule="auto"/>
              <w:jc w:val="left"/>
            </w:pPr>
            <w:r>
              <w:t>Tool assembly</w:t>
            </w:r>
          </w:p>
        </w:tc>
        <w:tc>
          <w:tcPr>
            <w:tcW w:type="dxa" w:w="3600"/>
          </w:tcPr>
          <w:p>
            <w:pPr>
              <w:spacing w:after="0" w:before="0" w:line="240" w:lineRule="auto"/>
              <w:jc w:val="left"/>
            </w:pPr>
            <w:r>
              <w:rPr>
                <w:rFonts w:ascii="Consolas" w:hAnsi="Consolas"/>
                <w:color w:val="333333"/>
                <w:sz w:val="19"/>
                <w:shd w:val="clear" w:color="auto" w:fill="EFEFEF"/>
              </w:rPr>
              <w:t>TOOL-2408</w:t>
            </w:r>
          </w:p>
        </w:tc>
        <w:tc>
          <w:tcPr>
            <w:tcW w:type="dxa" w:w="3600"/>
          </w:tcPr>
          <w:p>
            <w:pPr>
              <w:spacing w:after="0" w:before="0" w:line="240" w:lineRule="auto"/>
              <w:jc w:val="left"/>
            </w:pPr>
            <w:r>
              <w:t>Identifies a controlled tool assembly</w:t>
            </w:r>
          </w:p>
        </w:tc>
      </w:tr>
      <w:tr>
        <w:tc>
          <w:tcPr>
            <w:tcW w:type="dxa" w:w="3600"/>
          </w:tcPr>
          <w:p>
            <w:pPr>
              <w:spacing w:after="0" w:before="0" w:line="240" w:lineRule="auto"/>
              <w:jc w:val="left"/>
            </w:pPr>
            <w:r>
              <w:t>Fixture</w:t>
            </w:r>
          </w:p>
        </w:tc>
        <w:tc>
          <w:tcPr>
            <w:tcW w:type="dxa" w:w="3600"/>
          </w:tcPr>
          <w:p>
            <w:pPr>
              <w:spacing w:after="0" w:before="0" w:line="240" w:lineRule="auto"/>
              <w:jc w:val="left"/>
            </w:pPr>
            <w:r>
              <w:rPr>
                <w:rFonts w:ascii="Consolas" w:hAnsi="Consolas"/>
                <w:color w:val="333333"/>
                <w:sz w:val="19"/>
                <w:shd w:val="clear" w:color="auto" w:fill="EFEFEF"/>
              </w:rPr>
              <w:t>FIX-031</w:t>
            </w:r>
          </w:p>
        </w:tc>
        <w:tc>
          <w:tcPr>
            <w:tcW w:type="dxa" w:w="3600"/>
          </w:tcPr>
          <w:p>
            <w:pPr>
              <w:spacing w:after="0" w:before="0" w:line="240" w:lineRule="auto"/>
              <w:jc w:val="left"/>
            </w:pPr>
            <w:r>
              <w:t>Identifies the workholding fixture</w:t>
            </w:r>
          </w:p>
        </w:tc>
      </w:tr>
      <w:tr>
        <w:tc>
          <w:tcPr>
            <w:tcW w:type="dxa" w:w="3600"/>
          </w:tcPr>
          <w:p>
            <w:pPr>
              <w:spacing w:after="0" w:before="0" w:line="240" w:lineRule="auto"/>
              <w:jc w:val="left"/>
            </w:pPr>
            <w:r>
              <w:t>Production order</w:t>
            </w:r>
          </w:p>
        </w:tc>
        <w:tc>
          <w:tcPr>
            <w:tcW w:type="dxa" w:w="3600"/>
          </w:tcPr>
          <w:p>
            <w:pPr>
              <w:spacing w:after="0" w:before="0" w:line="240" w:lineRule="auto"/>
              <w:jc w:val="left"/>
            </w:pPr>
            <w:r>
              <w:rPr>
                <w:rFonts w:ascii="Consolas" w:hAnsi="Consolas"/>
                <w:color w:val="333333"/>
                <w:sz w:val="19"/>
                <w:shd w:val="clear" w:color="auto" w:fill="EFEFEF"/>
              </w:rPr>
              <w:t>WO-105938</w:t>
            </w:r>
          </w:p>
        </w:tc>
        <w:tc>
          <w:tcPr>
            <w:tcW w:type="dxa" w:w="3600"/>
          </w:tcPr>
          <w:p>
            <w:pPr>
              <w:spacing w:after="0" w:before="0" w:line="240" w:lineRule="auto"/>
              <w:jc w:val="left"/>
            </w:pPr>
            <w:r>
              <w:t>Identifies the planned production order</w:t>
            </w:r>
          </w:p>
        </w:tc>
      </w:tr>
    </w:tbl>
    <w:p/>
    <w:p>
      <w:r>
        <w:t>These examples illustrate naming patterns only. Actual identifiers must follow the plant's established conventions and system constraints.</w:t>
      </w:r>
    </w:p>
    <w:p>
      <w:pPr>
        <w:pStyle w:val="Heading3"/>
      </w:pPr>
      <w:r>
        <w:t>6.3 Data formatting and validation</w:t>
      </w:r>
    </w:p>
    <w:p>
      <w:r>
        <w:t>Define:</w:t>
      </w:r>
    </w:p>
    <w:p>
      <w:pPr>
        <w:pStyle w:val="ListBullet"/>
      </w:pPr>
      <w:r>
        <w:t>Permitted characters and character length.</w:t>
      </w:r>
    </w:p>
    <w:p>
      <w:pPr>
        <w:pStyle w:val="ListBullet"/>
      </w:pPr>
      <w:r>
        <w:t>Prefix and suffix handling.</w:t>
      </w:r>
    </w:p>
    <w:p>
      <w:pPr>
        <w:pStyle w:val="ListBullet"/>
      </w:pPr>
      <w:r>
        <w:t>Case sensitivity.</w:t>
      </w:r>
    </w:p>
    <w:p>
      <w:pPr>
        <w:pStyle w:val="ListBullet"/>
      </w:pPr>
      <w:r>
        <w:t>Check-digit or checksum rules where applicable.</w:t>
      </w:r>
    </w:p>
    <w:p>
      <w:pPr>
        <w:pStyle w:val="ListBullet"/>
      </w:pPr>
      <w:r>
        <w:t>Character encoding.</w:t>
      </w:r>
    </w:p>
    <w:p>
      <w:pPr>
        <w:pStyle w:val="ListBullet"/>
      </w:pPr>
      <w:r>
        <w:t>Separator and field parsing rules.</w:t>
      </w:r>
    </w:p>
    <w:p>
      <w:pPr>
        <w:pStyle w:val="ListBullet"/>
      </w:pPr>
      <w:r>
        <w:t>Duplicate-identifier behaviour.</w:t>
      </w:r>
    </w:p>
    <w:p>
      <w:pPr>
        <w:pStyle w:val="ListBullet"/>
      </w:pPr>
      <w:r>
        <w:t>Handling of leading zeros.</w:t>
      </w:r>
    </w:p>
    <w:p>
      <w:pPr>
        <w:pStyle w:val="ListBullet"/>
      </w:pPr>
      <w:r>
        <w:t>Expected data source and validation method.</w:t>
      </w:r>
    </w:p>
    <w:p>
      <w:r>
        <w:t>A scanned identifier should be validated against the expected format and current production context before it authorizes an operation.</w:t>
      </w:r>
    </w:p>
    <w:p>
      <w:pPr>
        <w:pStyle w:val="Heading2"/>
      </w:pPr>
      <w:r>
        <w:t>7. Barcode use in the CNC machining lifecycle</w:t>
      </w:r>
    </w:p>
    <w:p>
      <w:pPr>
        <w:pStyle w:val="Heading3"/>
      </w:pPr>
      <w:r>
        <w:t>7.1 Incoming material and work-in-progress</w:t>
      </w:r>
    </w:p>
    <w:p>
      <w:r>
        <w:t>At material receipt or work-order release, barcode scanning can associate a material batch or work-in-progress component with its production records.</w:t>
      </w:r>
    </w:p>
    <w:p>
      <w:r>
        <w:t>Controls should prevent a batch identifier from being confused with an individual part serial number. The distinction matters when several parts are produced from one raw-material lot.</w:t>
      </w:r>
    </w:p>
    <w:p>
      <w:pPr>
        <w:pStyle w:val="Heading3"/>
      </w:pPr>
      <w:r>
        <w:t>7.2 Part loading and program verification</w:t>
      </w:r>
    </w:p>
    <w:p>
      <w:r>
        <w:t>Before machining, the system may check that the scanned part identity matches:</w:t>
      </w:r>
    </w:p>
    <w:p>
      <w:pPr>
        <w:pStyle w:val="ListBullet"/>
      </w:pPr>
      <w:r>
        <w:t>The selected machine and operation.</w:t>
      </w:r>
    </w:p>
    <w:p>
      <w:pPr>
        <w:pStyle w:val="ListBullet"/>
      </w:pPr>
      <w:r>
        <w:t>The approved CNC program and revision.</w:t>
      </w:r>
    </w:p>
    <w:p>
      <w:pPr>
        <w:pStyle w:val="ListBullet"/>
      </w:pPr>
      <w:r>
        <w:t>The required fixture or pallet.</w:t>
      </w:r>
    </w:p>
    <w:p>
      <w:pPr>
        <w:pStyle w:val="ListBullet"/>
      </w:pPr>
      <w:r>
        <w:t>The planned tool set, where controlled by the process.</w:t>
      </w:r>
    </w:p>
    <w:p>
      <w:pPr>
        <w:pStyle w:val="ListBullet"/>
      </w:pPr>
      <w:r>
        <w:t>The production order and part variant.</w:t>
      </w:r>
    </w:p>
    <w:p>
      <w:r>
        <w:t>A successful barcode read is not sufficient by itself. The identifier must match the approved production context.</w:t>
      </w:r>
    </w:p>
    <w:p>
      <w:pPr>
        <w:pStyle w:val="Heading3"/>
      </w:pPr>
      <w:r>
        <w:t>7.3 During machining</w:t>
      </w:r>
    </w:p>
    <w:p>
      <w:r>
        <w:t>The barcode can be associated with cycle start, operation completion, alarm events, and measurement results.</w:t>
      </w:r>
    </w:p>
    <w:p>
      <w:r>
        <w:t>Typical records include:</w:t>
      </w:r>
    </w:p>
    <w:p>
      <w:pPr>
        <w:pStyle w:val="ListBullet"/>
      </w:pPr>
      <w:r>
        <w:t>Part identity and operation.</w:t>
      </w:r>
    </w:p>
    <w:p>
      <w:pPr>
        <w:pStyle w:val="ListBullet"/>
      </w:pPr>
      <w:r>
        <w:t>Machine ID and timestamp.</w:t>
      </w:r>
    </w:p>
    <w:p>
      <w:pPr>
        <w:pStyle w:val="ListBullet"/>
      </w:pPr>
      <w:r>
        <w:t>CNC program name and revision.</w:t>
      </w:r>
    </w:p>
    <w:p>
      <w:pPr>
        <w:pStyle w:val="ListBullet"/>
      </w:pPr>
      <w:r>
        <w:t>Cycle start and completion status.</w:t>
      </w:r>
    </w:p>
    <w:p>
      <w:pPr>
        <w:pStyle w:val="ListBullet"/>
      </w:pPr>
      <w:r>
        <w:t>Relevant alarm or interruption history.</w:t>
      </w:r>
    </w:p>
    <w:p>
      <w:pPr>
        <w:pStyle w:val="ListBullet"/>
      </w:pPr>
      <w:r>
        <w:t>Tool or fixture identification where required.</w:t>
      </w:r>
    </w:p>
    <w:p>
      <w:pPr>
        <w:pStyle w:val="ListBullet"/>
      </w:pPr>
      <w:r>
        <w:t>Inspection or gauging results.</w:t>
      </w:r>
    </w:p>
    <w:p>
      <w:r>
        <w:t>Barcode scanning does not directly measure tool wear or machining quality. Those require appropriate machine data, inspection, sensors, or other validated process controls.</w:t>
      </w:r>
    </w:p>
    <w:p>
      <w:pPr>
        <w:pStyle w:val="Heading3"/>
      </w:pPr>
      <w:r>
        <w:t>7.4 Post-machining and transfer</w:t>
      </w:r>
    </w:p>
    <w:p>
      <w:r>
        <w:t>After machining, the system can record the completed operation and route the part to the next station.</w:t>
      </w:r>
    </w:p>
    <w:p>
      <w:r>
        <w:t>The application should distinguish between:</w:t>
      </w:r>
    </w:p>
    <w:p>
      <w:pPr>
        <w:pStyle w:val="ListBullet"/>
      </w:pPr>
      <w:r>
        <w:t>Operation completed.</w:t>
      </w:r>
    </w:p>
    <w:p>
      <w:pPr>
        <w:pStyle w:val="ListBullet"/>
      </w:pPr>
      <w:r>
        <w:t>Operation passed inspection.</w:t>
      </w:r>
    </w:p>
    <w:p>
      <w:pPr>
        <w:pStyle w:val="ListBullet"/>
      </w:pPr>
      <w:r>
        <w:t>Operation rejected.</w:t>
      </w:r>
    </w:p>
    <w:p>
      <w:pPr>
        <w:pStyle w:val="ListBullet"/>
      </w:pPr>
      <w:r>
        <w:t>Operation bypassed under an approved exception.</w:t>
      </w:r>
    </w:p>
    <w:p>
      <w:pPr>
        <w:pStyle w:val="ListBullet"/>
      </w:pPr>
      <w:r>
        <w:t>Operation status unknown because of a communication or system fault.</w:t>
      </w:r>
    </w:p>
    <w:p>
      <w:r>
        <w:t xml:space="preserve">These states must not be collapsed into a single generic </w:t>
      </w:r>
      <w:r>
        <w:rPr>
          <w:rFonts w:ascii="Consolas" w:hAnsi="Consolas"/>
          <w:color w:val="333333"/>
          <w:sz w:val="19"/>
          <w:shd w:val="clear" w:color="auto" w:fill="EFEFEF"/>
        </w:rPr>
        <w:t>DONE</w:t>
      </w:r>
      <w:r>
        <w:t xml:space="preserve"> status, because production traceability becomes unreliable when different events look identical.</w:t>
      </w:r>
    </w:p>
    <w:p>
      <w:pPr>
        <w:pStyle w:val="Heading2"/>
      </w:pPr>
      <w:r>
        <w:t>8. CNC program verification using barcodes</w:t>
      </w:r>
    </w:p>
    <w:p>
      <w:r>
        <w:t>Barcode-based program verification helps prevent a part from being machined with the wrong program, revision, or variant.</w:t>
      </w:r>
    </w:p>
    <w:p>
      <w:r>
        <w:t>A typical sequence is:</w:t>
      </w:r>
    </w:p>
    <w:p>
      <w:pPr>
        <w:tabs>
          <w:tab w:pos="403" w:val="left"/>
        </w:tabs>
        <w:spacing w:after="40" w:line="276" w:lineRule="auto"/>
        <w:ind w:left="403" w:hanging="403"/>
        <w:jc w:val="left"/>
      </w:pPr>
      <w:r>
        <w:rPr>
          <w:color w:val="1A2E4A"/>
        </w:rPr>
        <w:t>1.</w:t>
        <w:tab/>
      </w:r>
      <w:r>
        <w:t>The operator scans the part or production-order barcode.</w:t>
      </w:r>
    </w:p>
    <w:p>
      <w:pPr>
        <w:tabs>
          <w:tab w:pos="403" w:val="left"/>
        </w:tabs>
        <w:spacing w:after="40" w:line="276" w:lineRule="auto"/>
        <w:ind w:left="403" w:hanging="403"/>
        <w:jc w:val="left"/>
      </w:pPr>
      <w:r>
        <w:rPr>
          <w:color w:val="1A2E4A"/>
        </w:rPr>
        <w:t>2.</w:t>
        <w:tab/>
      </w:r>
      <w:r>
        <w:t>The control system retrieves the expected part, operation, and approved program information.</w:t>
      </w:r>
    </w:p>
    <w:p>
      <w:pPr>
        <w:tabs>
          <w:tab w:pos="403" w:val="left"/>
        </w:tabs>
        <w:spacing w:after="40" w:line="276" w:lineRule="auto"/>
        <w:ind w:left="403" w:hanging="403"/>
        <w:jc w:val="left"/>
      </w:pPr>
      <w:r>
        <w:rPr>
          <w:color w:val="1A2E4A"/>
        </w:rPr>
        <w:t>3.</w:t>
        <w:tab/>
      </w:r>
      <w:r>
        <w:t>The system compares that information with the actual CNC machine and program context.</w:t>
      </w:r>
    </w:p>
    <w:p>
      <w:pPr>
        <w:tabs>
          <w:tab w:pos="403" w:val="left"/>
        </w:tabs>
        <w:spacing w:after="40" w:line="276" w:lineRule="auto"/>
        <w:ind w:left="403" w:hanging="403"/>
        <w:jc w:val="left"/>
      </w:pPr>
      <w:r>
        <w:rPr>
          <w:color w:val="1A2E4A"/>
        </w:rPr>
        <w:t>4.</w:t>
        <w:tab/>
      </w:r>
      <w:r>
        <w:t>If the checks pass, the process may be authorized according to the machine's approved interlock design.</w:t>
      </w:r>
    </w:p>
    <w:p>
      <w:pPr>
        <w:tabs>
          <w:tab w:pos="403" w:val="left"/>
        </w:tabs>
        <w:spacing w:after="40" w:line="276" w:lineRule="auto"/>
        <w:ind w:left="403" w:hanging="403"/>
        <w:jc w:val="left"/>
      </w:pPr>
      <w:r>
        <w:rPr>
          <w:color w:val="1A2E4A"/>
        </w:rPr>
        <w:t>5.</w:t>
        <w:tab/>
      </w:r>
      <w:r>
        <w:t>If the checks fail, the system displays the mismatch and blocks the affected operation where required.</w:t>
      </w:r>
    </w:p>
    <w:p>
      <w:pPr>
        <w:tabs>
          <w:tab w:pos="403" w:val="left"/>
        </w:tabs>
        <w:spacing w:after="40" w:line="276" w:lineRule="auto"/>
        <w:ind w:left="403" w:hanging="403"/>
        <w:jc w:val="left"/>
      </w:pPr>
      <w:r>
        <w:rPr>
          <w:color w:val="1A2E4A"/>
        </w:rPr>
        <w:t>6.</w:t>
        <w:tab/>
      </w:r>
      <w:r>
        <w:t>The result is recorded for traceability.</w:t>
      </w:r>
    </w:p>
    <w:p>
      <w:pPr>
        <w:pStyle w:val="Heading3"/>
      </w:pPr>
      <w:r>
        <w:t>8.1 Example validation logic</w:t>
      </w:r>
    </w:p>
    <w:p>
      <w:pPr>
        <w:shd w:val="clear" w:color="auto" w:fill="F4F4F4"/>
        <w:spacing w:before="0" w:after="0" w:line="240" w:lineRule="auto"/>
        <w:ind w:left="216" w:right="216"/>
        <w:jc w:val="left"/>
      </w:pPr>
      <w:r>
        <w:rPr>
          <w:rFonts w:ascii="Consolas" w:hAnsi="Consolas"/>
          <w:color w:val="202020"/>
          <w:sz w:val="18"/>
        </w:rPr>
        <w:t>SCAN PART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code readable and valid?</w:t>
      </w:r>
    </w:p>
    <w:p>
      <w:pPr>
        <w:shd w:val="clear" w:color="auto" w:fill="F4F4F4"/>
        <w:spacing w:before="0" w:after="0" w:line="240" w:lineRule="auto"/>
        <w:ind w:left="216" w:right="216"/>
        <w:jc w:val="left"/>
      </w:pPr>
      <w:r>
        <w:rPr>
          <w:rFonts w:ascii="Consolas" w:hAnsi="Consolas"/>
          <w:color w:val="202020"/>
          <w:sz w:val="18"/>
        </w:rPr>
        <w:t xml:space="preserve">      ├── NO → Display error and request a valid scan</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Does the part match the work order?</w:t>
      </w:r>
    </w:p>
    <w:p>
      <w:pPr>
        <w:shd w:val="clear" w:color="auto" w:fill="F4F4F4"/>
        <w:spacing w:before="0" w:after="0" w:line="240" w:lineRule="auto"/>
        <w:ind w:left="216" w:right="216"/>
        <w:jc w:val="left"/>
      </w:pPr>
      <w:r>
        <w:rPr>
          <w:rFonts w:ascii="Consolas" w:hAnsi="Consolas"/>
          <w:color w:val="202020"/>
          <w:sz w:val="18"/>
        </w:rPr>
        <w:t xml:space="preserve">      ├── NO → Block operation and record mismatch</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Does the program and revision match?</w:t>
      </w:r>
    </w:p>
    <w:p>
      <w:pPr>
        <w:shd w:val="clear" w:color="auto" w:fill="F4F4F4"/>
        <w:spacing w:before="0" w:after="0" w:line="240" w:lineRule="auto"/>
        <w:ind w:left="216" w:right="216"/>
        <w:jc w:val="left"/>
      </w:pPr>
      <w:r>
        <w:rPr>
          <w:rFonts w:ascii="Consolas" w:hAnsi="Consolas"/>
          <w:color w:val="202020"/>
          <w:sz w:val="18"/>
        </w:rPr>
        <w:t xml:space="preserve">      ├── NO → Block operation and request authorized correction</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Are fixture and process prerequisites satisfied?</w:t>
      </w:r>
    </w:p>
    <w:p>
      <w:pPr>
        <w:shd w:val="clear" w:color="auto" w:fill="F4F4F4"/>
        <w:spacing w:before="0" w:after="0" w:line="240" w:lineRule="auto"/>
        <w:ind w:left="216" w:right="216"/>
        <w:jc w:val="left"/>
      </w:pPr>
      <w:r>
        <w:rPr>
          <w:rFonts w:ascii="Consolas" w:hAnsi="Consolas"/>
          <w:color w:val="202020"/>
          <w:sz w:val="18"/>
        </w:rPr>
        <w:t xml:space="preserve">      ├── NO → Keep operation inhibited</w:t>
      </w:r>
    </w:p>
    <w:p>
      <w:pPr>
        <w:shd w:val="clear" w:color="auto" w:fill="F4F4F4"/>
        <w:spacing w:before="0" w:after="0" w:line="240" w:lineRule="auto"/>
        <w:ind w:left="216" w:right="216"/>
        <w:jc w:val="left"/>
      </w:pPr>
      <w:r>
        <w:rPr>
          <w:rFonts w:ascii="Consolas" w:hAnsi="Consolas"/>
          <w:color w:val="202020"/>
          <w:sz w:val="18"/>
        </w:rPr>
        <w:t xml:space="preserve">      └── YES → Permit the approved machining sequence</w:t>
      </w:r>
    </w:p>
    <w:p/>
    <w:p>
      <w:r>
        <w:t>The actual implementation should also account for program selection, active program identity, tool and fixture prerequisites, and the risk of bypassing the validation. A barcode check should not be treated as proof that the loaded CNC program itself is correct unless the system verifies the relevant program identity and revision reliably.</w:t>
      </w:r>
    </w:p>
    <w:p>
      <w:pPr>
        <w:pStyle w:val="Heading3"/>
      </w:pPr>
      <w:r>
        <w:t>8.2 Important safeguards</w:t>
      </w:r>
    </w:p>
    <w:p>
      <w:pPr>
        <w:pStyle w:val="ListBullet"/>
      </w:pPr>
      <w:r>
        <w:t>Validate the active program, not merely a text field entered by the operator.</w:t>
      </w:r>
    </w:p>
    <w:p>
      <w:pPr>
        <w:pStyle w:val="ListBullet"/>
      </w:pPr>
      <w:r>
        <w:t>Use controlled program revisions and authorization.</w:t>
      </w:r>
    </w:p>
    <w:p>
      <w:pPr>
        <w:pStyle w:val="ListBullet"/>
      </w:pPr>
      <w:r>
        <w:t>Prevent unintended bypass of a required check.</w:t>
      </w:r>
    </w:p>
    <w:p>
      <w:pPr>
        <w:pStyle w:val="ListBullet"/>
      </w:pPr>
      <w:r>
        <w:t>Handle scanner and communication faults explicitly.</w:t>
      </w:r>
    </w:p>
    <w:p>
      <w:pPr>
        <w:pStyle w:val="ListBullet"/>
      </w:pPr>
      <w:r>
        <w:t>Record mismatches and authorized overrides.</w:t>
      </w:r>
    </w:p>
    <w:p>
      <w:pPr>
        <w:pStyle w:val="ListBullet"/>
      </w:pPr>
      <w:r>
        <w:t>Test the interlock during commissioning and after relevant software changes.</w:t>
      </w:r>
    </w:p>
    <w:p>
      <w:pPr>
        <w:pStyle w:val="ListBullet"/>
      </w:pPr>
      <w:r>
        <w:t>Ensure that safe machine-state requirements remain independent of barcode validation.</w:t>
      </w:r>
    </w:p>
    <w:p>
      <w:r>
        <w:t>Barcode logic is a production error-prevention control, not a substitute for machine safety functions.</w:t>
      </w:r>
    </w:p>
    <w:p>
      <w:pPr>
        <w:pStyle w:val="Heading2"/>
      </w:pPr>
      <w:r>
        <w:t>9. Barcode readers and interfaces</w:t>
      </w:r>
    </w:p>
    <w:p>
      <w:pPr>
        <w:pStyle w:val="Heading3"/>
      </w:pPr>
      <w:r>
        <w:t>9.1 Handheld readers</w:t>
      </w:r>
    </w:p>
    <w:p>
      <w:r>
        <w:t>Handheld readers are useful for flexible operations such as tool-room transactions, setup confirmation, and manual part tracking.</w:t>
      </w:r>
    </w:p>
    <w:p>
      <w:r>
        <w:t>Potential limitations include inconsistent scan position, operator-dependent workflow, damaged labels, and the possibility of scanning the wrong object.</w:t>
      </w:r>
    </w:p>
    <w:p>
      <w:pPr>
        <w:pStyle w:val="Heading3"/>
      </w:pPr>
      <w:r>
        <w:t>9.2 Fixed readers</w:t>
      </w:r>
    </w:p>
    <w:p>
      <w:r>
        <w:t>Fixed readers are mounted at defined points, such as machine entrances, conveyor stations, and pallet transfer locations.</w:t>
      </w:r>
    </w:p>
    <w:p>
      <w:r>
        <w:t>Advantages include repeatable positioning and easier integration into automatic sequences. However, mounting, illumination, trigger logic, vibration, and the expected code presentation must be validated.</w:t>
      </w:r>
    </w:p>
    <w:p>
      <w:pPr>
        <w:pStyle w:val="Heading3"/>
      </w:pPr>
      <w:r>
        <w:t>9.3 Industrial vision readers</w:t>
      </w:r>
    </w:p>
    <w:p>
      <w:r>
        <w:t>Vision-based readers use imaging and decoding software to read codes under defined optical conditions. They can be useful for direct part marking and difficult surfaces.</w:t>
      </w:r>
    </w:p>
    <w:p>
      <w:r>
        <w:t>Performance depends on:</w:t>
      </w:r>
    </w:p>
    <w:p>
      <w:pPr>
        <w:pStyle w:val="ListBullet"/>
      </w:pPr>
      <w:r>
        <w:t>Code contrast and module size.</w:t>
      </w:r>
    </w:p>
    <w:p>
      <w:pPr>
        <w:pStyle w:val="ListBullet"/>
      </w:pPr>
      <w:r>
        <w:t>Focus and working distance.</w:t>
      </w:r>
    </w:p>
    <w:p>
      <w:pPr>
        <w:pStyle w:val="ListBullet"/>
      </w:pPr>
      <w:r>
        <w:t>Lighting direction and intensity.</w:t>
      </w:r>
    </w:p>
    <w:p>
      <w:pPr>
        <w:pStyle w:val="ListBullet"/>
      </w:pPr>
      <w:r>
        <w:t>Surface reflectivity.</w:t>
      </w:r>
    </w:p>
    <w:p>
      <w:pPr>
        <w:pStyle w:val="ListBullet"/>
      </w:pPr>
      <w:r>
        <w:t>Marking depth and quality.</w:t>
      </w:r>
    </w:p>
    <w:p>
      <w:pPr>
        <w:pStyle w:val="ListBullet"/>
      </w:pPr>
      <w:r>
        <w:t>Part orientation and motion.</w:t>
      </w:r>
    </w:p>
    <w:p>
      <w:pPr>
        <w:pStyle w:val="ListBullet"/>
      </w:pPr>
      <w:r>
        <w:t>Reader configuration and decoding capability.</w:t>
      </w:r>
    </w:p>
    <w:p>
      <w:pPr>
        <w:pStyle w:val="Heading3"/>
      </w:pPr>
      <w:r>
        <w:t>9.4 Common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Maintenance consideration</w:t>
            </w:r>
          </w:p>
        </w:tc>
      </w:tr>
      <w:tr>
        <w:tc>
          <w:tcPr>
            <w:tcW w:type="dxa" w:w="3600"/>
          </w:tcPr>
          <w:p>
            <w:pPr>
              <w:spacing w:after="0" w:before="0" w:line="240" w:lineRule="auto"/>
              <w:jc w:val="left"/>
            </w:pPr>
            <w:r>
              <w:t>USB</w:t>
            </w:r>
          </w:p>
        </w:tc>
        <w:tc>
          <w:tcPr>
            <w:tcW w:type="dxa" w:w="3600"/>
          </w:tcPr>
          <w:p>
            <w:pPr>
              <w:spacing w:after="0" w:before="0" w:line="240" w:lineRule="auto"/>
              <w:jc w:val="left"/>
            </w:pPr>
            <w:r>
              <w:t>Handheld reader connected to a PC or terminal</w:t>
            </w:r>
          </w:p>
        </w:tc>
        <w:tc>
          <w:tcPr>
            <w:tcW w:type="dxa" w:w="3600"/>
          </w:tcPr>
          <w:p>
            <w:pPr>
              <w:spacing w:after="0" w:before="0" w:line="240" w:lineRule="auto"/>
              <w:jc w:val="left"/>
            </w:pPr>
            <w:r>
              <w:t>Connector condition, device recognition, and application focus</w:t>
            </w:r>
          </w:p>
        </w:tc>
      </w:tr>
      <w:tr>
        <w:tc>
          <w:tcPr>
            <w:tcW w:type="dxa" w:w="3600"/>
          </w:tcPr>
          <w:p>
            <w:pPr>
              <w:spacing w:after="0" w:before="0" w:line="240" w:lineRule="auto"/>
              <w:jc w:val="left"/>
            </w:pPr>
            <w:r>
              <w:t>Serial RS-232</w:t>
            </w:r>
          </w:p>
        </w:tc>
        <w:tc>
          <w:tcPr>
            <w:tcW w:type="dxa" w:w="3600"/>
          </w:tcPr>
          <w:p>
            <w:pPr>
              <w:spacing w:after="0" w:before="0" w:line="240" w:lineRule="auto"/>
              <w:jc w:val="left"/>
            </w:pPr>
            <w:r>
              <w:t>Reader-to-controller or reader-to-PC communication</w:t>
            </w:r>
          </w:p>
        </w:tc>
        <w:tc>
          <w:tcPr>
            <w:tcW w:type="dxa" w:w="3600"/>
          </w:tcPr>
          <w:p>
            <w:pPr>
              <w:spacing w:after="0" w:before="0" w:line="240" w:lineRule="auto"/>
              <w:jc w:val="left"/>
            </w:pPr>
            <w:r>
              <w:t>Baud rate, parity, stop bits, wiring, and grounding</w:t>
            </w:r>
          </w:p>
        </w:tc>
      </w:tr>
      <w:tr>
        <w:tc>
          <w:tcPr>
            <w:tcW w:type="dxa" w:w="3600"/>
          </w:tcPr>
          <w:p>
            <w:pPr>
              <w:spacing w:after="0" w:before="0" w:line="240" w:lineRule="auto"/>
              <w:jc w:val="left"/>
            </w:pPr>
            <w:r>
              <w:t>Ethernet</w:t>
            </w:r>
          </w:p>
        </w:tc>
        <w:tc>
          <w:tcPr>
            <w:tcW w:type="dxa" w:w="3600"/>
          </w:tcPr>
          <w:p>
            <w:pPr>
              <w:spacing w:after="0" w:before="0" w:line="240" w:lineRule="auto"/>
              <w:jc w:val="left"/>
            </w:pPr>
            <w:r>
              <w:t>Networked reader and production application</w:t>
            </w:r>
          </w:p>
        </w:tc>
        <w:tc>
          <w:tcPr>
            <w:tcW w:type="dxa" w:w="3600"/>
          </w:tcPr>
          <w:p>
            <w:pPr>
              <w:spacing w:after="0" w:before="0" w:line="240" w:lineRule="auto"/>
              <w:jc w:val="left"/>
            </w:pPr>
            <w:r>
              <w:t>IP configuration, connectivity, and network diagnostics</w:t>
            </w:r>
          </w:p>
        </w:tc>
      </w:tr>
      <w:tr>
        <w:tc>
          <w:tcPr>
            <w:tcW w:type="dxa" w:w="3600"/>
          </w:tcPr>
          <w:p>
            <w:pPr>
              <w:spacing w:after="0" w:before="0" w:line="240" w:lineRule="auto"/>
              <w:jc w:val="left"/>
            </w:pPr>
            <w:r>
              <w:t>Industrial Ethernet</w:t>
            </w:r>
          </w:p>
        </w:tc>
        <w:tc>
          <w:tcPr>
            <w:tcW w:type="dxa" w:w="3600"/>
          </w:tcPr>
          <w:p>
            <w:pPr>
              <w:spacing w:after="0" w:before="0" w:line="240" w:lineRule="auto"/>
              <w:jc w:val="left"/>
            </w:pPr>
            <w:r>
              <w:t>Integration with compatible industrial controllers</w:t>
            </w:r>
          </w:p>
        </w:tc>
        <w:tc>
          <w:tcPr>
            <w:tcW w:type="dxa" w:w="3600"/>
          </w:tcPr>
          <w:p>
            <w:pPr>
              <w:spacing w:after="0" w:before="0" w:line="240" w:lineRule="auto"/>
              <w:jc w:val="left"/>
            </w:pPr>
            <w:r>
              <w:t>Device configuration, protocol compatibility, and network health</w:t>
            </w:r>
          </w:p>
        </w:tc>
      </w:tr>
      <w:tr>
        <w:tc>
          <w:tcPr>
            <w:tcW w:type="dxa" w:w="3600"/>
          </w:tcPr>
          <w:p>
            <w:pPr>
              <w:spacing w:after="0" w:before="0" w:line="240" w:lineRule="auto"/>
              <w:jc w:val="left"/>
            </w:pPr>
            <w:r>
              <w:t>Digital I/O</w:t>
            </w:r>
          </w:p>
        </w:tc>
        <w:tc>
          <w:tcPr>
            <w:tcW w:type="dxa" w:w="3600"/>
          </w:tcPr>
          <w:p>
            <w:pPr>
              <w:spacing w:after="0" w:before="0" w:line="240" w:lineRule="auto"/>
              <w:jc w:val="left"/>
            </w:pPr>
            <w:r>
              <w:t>Triggering, ready, and read-status signals</w:t>
            </w:r>
          </w:p>
        </w:tc>
        <w:tc>
          <w:tcPr>
            <w:tcW w:type="dxa" w:w="3600"/>
          </w:tcPr>
          <w:p>
            <w:pPr>
              <w:spacing w:after="0" w:before="0" w:line="240" w:lineRule="auto"/>
              <w:jc w:val="left"/>
            </w:pPr>
            <w:r>
              <w:t>Correct wiring, signal timing, and fault-state behaviour</w:t>
            </w:r>
          </w:p>
        </w:tc>
      </w:tr>
      <w:tr>
        <w:tc>
          <w:tcPr>
            <w:tcW w:type="dxa" w:w="3600"/>
          </w:tcPr>
          <w:p>
            <w:pPr>
              <w:spacing w:after="0" w:before="0" w:line="240" w:lineRule="auto"/>
              <w:jc w:val="left"/>
            </w:pPr>
            <w:r>
              <w:t>Keyboard emulation</w:t>
            </w:r>
          </w:p>
        </w:tc>
        <w:tc>
          <w:tcPr>
            <w:tcW w:type="dxa" w:w="3600"/>
          </w:tcPr>
          <w:p>
            <w:pPr>
              <w:spacing w:after="0" w:before="0" w:line="240" w:lineRule="auto"/>
              <w:jc w:val="left"/>
            </w:pPr>
            <w:r>
              <w:t>Reader inputs decoded data as keyboard characters</w:t>
            </w:r>
          </w:p>
        </w:tc>
        <w:tc>
          <w:tcPr>
            <w:tcW w:type="dxa" w:w="3600"/>
          </w:tcPr>
          <w:p>
            <w:pPr>
              <w:spacing w:after="0" w:before="0" w:line="240" w:lineRule="auto"/>
              <w:jc w:val="left"/>
            </w:pPr>
            <w:r>
              <w:t>Focus errors, accidental input into the wrong field, and suffix configuration</w:t>
            </w:r>
          </w:p>
        </w:tc>
      </w:tr>
    </w:tbl>
    <w:p/>
    <w:p>
      <w:r>
        <w:t>The interface should be selected based on the reader's supported capabilities, system architecture, and required response time.</w:t>
      </w:r>
    </w:p>
    <w:p>
      <w:pPr>
        <w:pStyle w:val="Heading2"/>
      </w:pPr>
      <w:r>
        <w:t>10. Barcode quality and marking methods</w:t>
      </w:r>
    </w:p>
    <w:p>
      <w:r>
        <w:t>The physical quality of the code is essential to reliable reading.</w:t>
      </w:r>
    </w:p>
    <w:p>
      <w:pPr>
        <w:pStyle w:val="Heading3"/>
      </w:pPr>
      <w:r>
        <w:t>10.1 Printed labels</w:t>
      </w:r>
    </w:p>
    <w:p>
      <w:r>
        <w:t>Printed labels are common for boxes, pallets, production orders, and components with suitable label surfaces.</w:t>
      </w:r>
    </w:p>
    <w:p>
      <w:r>
        <w:t>Potential failure modes include:</w:t>
      </w:r>
    </w:p>
    <w:p>
      <w:pPr>
        <w:pStyle w:val="ListBullet"/>
      </w:pPr>
      <w:r>
        <w:t>Smearing or low print contrast.</w:t>
      </w:r>
    </w:p>
    <w:p>
      <w:pPr>
        <w:pStyle w:val="ListBullet"/>
      </w:pPr>
      <w:r>
        <w:t>Adhesive failure.</w:t>
      </w:r>
    </w:p>
    <w:p>
      <w:pPr>
        <w:pStyle w:val="ListBullet"/>
      </w:pPr>
      <w:r>
        <w:t>Heat or coolant exposure.</w:t>
      </w:r>
    </w:p>
    <w:p>
      <w:pPr>
        <w:pStyle w:val="ListBullet"/>
      </w:pPr>
      <w:r>
        <w:t>Oil, dust, or chemical contamination.</w:t>
      </w:r>
    </w:p>
    <w:p>
      <w:pPr>
        <w:pStyle w:val="ListBullet"/>
      </w:pPr>
      <w:r>
        <w:t>Wrinkling or abrasion.</w:t>
      </w:r>
    </w:p>
    <w:p>
      <w:pPr>
        <w:pStyle w:val="ListBullet"/>
      </w:pPr>
      <w:r>
        <w:t>Incorrect label content or revision.</w:t>
      </w:r>
    </w:p>
    <w:p>
      <w:r>
        <w:t>Labels used near CNC machines should be suitable for the expected coolant, oil, temperature, cleaning chemicals, and handling conditions.</w:t>
      </w:r>
    </w:p>
    <w:p>
      <w:pPr>
        <w:pStyle w:val="Heading3"/>
      </w:pPr>
      <w:r>
        <w:t>10.2 Laser marking and direct part marking</w:t>
      </w:r>
    </w:p>
    <w:p>
      <w:r>
        <w:t>Direct part marking places a code directly on the component using an approved marking process, such as laser marking or another suitable industrial method.</w:t>
      </w:r>
    </w:p>
    <w:p>
      <w:r>
        <w:t>Potential benefits include durable identification and reduced dependence on attached labels. Limitations include surface reflectivity, marking contrast, curved surfaces, roughness, and the possibility of damaging a functional surface if marking is improperly specified.</w:t>
      </w:r>
    </w:p>
    <w:p>
      <w:r>
        <w:t>Marking location, size, depth, and method must be approved for the component. A readable code is not useful if the marking process damages the part or violates customer requirements.</w:t>
      </w:r>
    </w:p>
    <w:p>
      <w:pPr>
        <w:pStyle w:val="Heading3"/>
      </w:pPr>
      <w:r>
        <w:t>10.3 Code quality</w:t>
      </w:r>
    </w:p>
    <w:p>
      <w:r>
        <w:t>Code quality should be evaluated using the relevant standard and verification method where required. Important characteristics may include contrast, module dimensions, print growth, quiet zones, decoding reliability, and damage.</w:t>
      </w:r>
    </w:p>
    <w:p>
      <w:r>
        <w:t>A code that scans once under favourable conditions is not necessarily reliable for production. Validate it under representative operating conditions.</w:t>
      </w:r>
    </w:p>
    <w:p>
      <w:pPr>
        <w:pStyle w:val="Heading2"/>
      </w:pPr>
      <w:r>
        <w:t>11. Barcode integration with PLC, CNC, MES, and ERP</w:t>
      </w:r>
    </w:p>
    <w:p>
      <w:r>
        <w:t>Barcode systems may exchange data with several levels of the manufacturing system.</w:t>
      </w:r>
    </w:p>
    <w:p>
      <w:pPr>
        <w:pStyle w:val="ListBullet"/>
      </w:pPr>
      <w:r>
        <w:t>Scanner or reader: Captures and decodes the code.</w:t>
      </w:r>
    </w:p>
    <w:p>
      <w:pPr>
        <w:pStyle w:val="ListBullet"/>
      </w:pPr>
      <w:r>
        <w:t>PLC: Coordinates station logic, signals, and interlocks where designed.</w:t>
      </w:r>
    </w:p>
    <w:p>
      <w:pPr>
        <w:pStyle w:val="ListBullet"/>
      </w:pPr>
      <w:r>
        <w:t>CNC: Executes the machining program and provides machine status.</w:t>
      </w:r>
    </w:p>
    <w:p>
      <w:pPr>
        <w:pStyle w:val="ListBullet"/>
      </w:pPr>
      <w:r>
        <w:t>MES: Manages production execution, routing, and operation records.</w:t>
      </w:r>
    </w:p>
    <w:p>
      <w:pPr>
        <w:pStyle w:val="ListBullet"/>
      </w:pPr>
      <w:r>
        <w:t>ERP: Manages production orders, material records, inventory, and related business transactions.</w:t>
      </w:r>
    </w:p>
    <w:p>
      <w:pPr>
        <w:pStyle w:val="ListBullet"/>
      </w:pPr>
      <w:r>
        <w:t>Database or historian: Stores traceability events and process data.</w:t>
      </w:r>
    </w:p>
    <w:p>
      <w:pPr>
        <w:pStyle w:val="ListBullet"/>
      </w:pPr>
      <w:r>
        <w:t>HMI: Displays scan status, mismatches, and recovery instructions.</w:t>
      </w:r>
    </w:p>
    <w:p>
      <w:r>
        <w:t>A common data path is:</w:t>
      </w:r>
    </w:p>
    <w:p>
      <w:pPr>
        <w:shd w:val="clear" w:color="auto" w:fill="F4F4F4"/>
        <w:spacing w:before="0" w:after="0" w:line="240" w:lineRule="auto"/>
        <w:ind w:left="216" w:right="216"/>
        <w:jc w:val="left"/>
      </w:pPr>
      <w:r>
        <w:rPr>
          <w:rFonts w:ascii="Consolas" w:hAnsi="Consolas"/>
          <w:color w:val="202020"/>
          <w:sz w:val="18"/>
        </w:rPr>
        <w:t>Scanner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and operation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status / approved program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production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Database / ERP transaction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Traceability and reporting</w:t>
      </w:r>
    </w:p>
    <w:p/>
    <w:p>
      <w:r>
        <w:t>Not every plant needs every layer. A standalone CNC station may use a scanner and local application, while a connected production line may use a PLC, MES, and central database.</w:t>
      </w:r>
    </w:p>
    <w:p>
      <w:pPr>
        <w:pStyle w:val="Heading3"/>
      </w:pPr>
      <w:r>
        <w:t>11.1 Data ownership</w:t>
      </w:r>
    </w:p>
    <w:p>
      <w:r>
        <w:t>Define which system owns each critical data item. For example, ERP may own the production order, the CNC system may own the active machine program state, and MES may own the operation-completion record.</w:t>
      </w:r>
    </w:p>
    <w:p>
      <w:r>
        <w:t>Avoid multiple uncontrolled copies of critical information. If two systems disagree about the part revision or operation status, the process must have a defined source of truth and an exception-handling method.</w:t>
      </w:r>
    </w:p>
    <w:p>
      <w:pPr>
        <w:pStyle w:val="Heading3"/>
      </w:pPr>
      <w:r>
        <w:t>11.2 PLC logic considerations</w:t>
      </w:r>
    </w:p>
    <w:p>
      <w:r>
        <w:t>The PLC or control application may need to manage:</w:t>
      </w:r>
    </w:p>
    <w:p>
      <w:pPr>
        <w:pStyle w:val="ListBullet"/>
      </w:pPr>
      <w:r>
        <w:t>Scan request and trigger.</w:t>
      </w:r>
    </w:p>
    <w:p>
      <w:pPr>
        <w:pStyle w:val="ListBullet"/>
      </w:pPr>
      <w:r>
        <w:t>Reader-ready status.</w:t>
      </w:r>
    </w:p>
    <w:p>
      <w:pPr>
        <w:pStyle w:val="ListBullet"/>
      </w:pPr>
      <w:r>
        <w:t>New-data indication.</w:t>
      </w:r>
    </w:p>
    <w:p>
      <w:pPr>
        <w:pStyle w:val="ListBullet"/>
      </w:pPr>
      <w:r>
        <w:t>Read-complete confirmation.</w:t>
      </w:r>
    </w:p>
    <w:p>
      <w:pPr>
        <w:pStyle w:val="ListBullet"/>
      </w:pPr>
      <w:r>
        <w:t>Read-failure timeout.</w:t>
      </w:r>
    </w:p>
    <w:p>
      <w:pPr>
        <w:pStyle w:val="ListBullet"/>
      </w:pPr>
      <w:r>
        <w:t>Input validation.</w:t>
      </w:r>
    </w:p>
    <w:p>
      <w:pPr>
        <w:pStyle w:val="ListBullet"/>
      </w:pPr>
      <w:r>
        <w:t>Duplicate-scan detection.</w:t>
      </w:r>
    </w:p>
    <w:p>
      <w:pPr>
        <w:pStyle w:val="ListBullet"/>
      </w:pPr>
      <w:r>
        <w:t>Production-context validation.</w:t>
      </w:r>
    </w:p>
    <w:p>
      <w:pPr>
        <w:pStyle w:val="ListBullet"/>
      </w:pPr>
      <w:r>
        <w:t>Operation-permit logic.</w:t>
      </w:r>
    </w:p>
    <w:p>
      <w:pPr>
        <w:pStyle w:val="ListBullet"/>
      </w:pPr>
      <w:r>
        <w:t>Fault reset and recovery.</w:t>
      </w:r>
    </w:p>
    <w:p>
      <w:pPr>
        <w:pStyle w:val="ListBullet"/>
      </w:pPr>
      <w:r>
        <w:t>Event logging.</w:t>
      </w:r>
    </w:p>
    <w:p>
      <w:r>
        <w:t>The implementation must use the actual reader protocol and controller interface. Signal names and timing should be defined in the electrical drawings, I/O list, and control specification.</w:t>
      </w:r>
    </w:p>
    <w:p>
      <w:pPr>
        <w:pStyle w:val="Heading2"/>
      </w:pPr>
      <w:r>
        <w:t>12. Traceability data model</w:t>
      </w:r>
    </w:p>
    <w:p>
      <w:r>
        <w:t>A traceability system should link identification events with production and quality records.</w:t>
      </w:r>
    </w:p>
    <w:p>
      <w:r>
        <w:t>A useful logical relationship is:</w:t>
      </w:r>
    </w:p>
    <w:p>
      <w:pPr>
        <w:shd w:val="clear" w:color="auto" w:fill="F4F4F4"/>
        <w:spacing w:before="0" w:after="0" w:line="240" w:lineRule="auto"/>
        <w:ind w:left="216" w:right="216"/>
        <w:jc w:val="left"/>
      </w:pPr>
      <w:r>
        <w:rPr>
          <w:rFonts w:ascii="Consolas" w:hAnsi="Consolas"/>
          <w:color w:val="202020"/>
          <w:sz w:val="18"/>
        </w:rPr>
        <w:t>Part Serial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Order and Material Batch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and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 Revision and Tool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Machining Result and Inspection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Operation / Final Status</w:t>
      </w:r>
    </w:p>
    <w:p/>
    <w:p>
      <w:pPr>
        <w:pStyle w:val="Heading3"/>
      </w:pPr>
      <w:r>
        <w:t>12.1 Recommended record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Part serial number</w:t>
            </w:r>
          </w:p>
        </w:tc>
        <w:tc>
          <w:tcPr>
            <w:tcW w:type="dxa" w:w="5400"/>
          </w:tcPr>
          <w:p>
            <w:pPr>
              <w:spacing w:after="0" w:before="0" w:line="240" w:lineRule="auto"/>
              <w:jc w:val="left"/>
            </w:pPr>
            <w:r>
              <w:t>Identifies the individual component</w:t>
            </w:r>
          </w:p>
        </w:tc>
      </w:tr>
      <w:tr>
        <w:tc>
          <w:tcPr>
            <w:tcW w:type="dxa" w:w="5400"/>
          </w:tcPr>
          <w:p>
            <w:pPr>
              <w:spacing w:after="0" w:before="0" w:line="240" w:lineRule="auto"/>
              <w:jc w:val="left"/>
            </w:pPr>
            <w:r>
              <w:t>Part number and variant</w:t>
            </w:r>
          </w:p>
        </w:tc>
        <w:tc>
          <w:tcPr>
            <w:tcW w:type="dxa" w:w="5400"/>
          </w:tcPr>
          <w:p>
            <w:pPr>
              <w:spacing w:after="0" w:before="0" w:line="240" w:lineRule="auto"/>
              <w:jc w:val="left"/>
            </w:pPr>
            <w:r>
              <w:t>Identifies the intended design</w:t>
            </w:r>
          </w:p>
        </w:tc>
      </w:tr>
      <w:tr>
        <w:tc>
          <w:tcPr>
            <w:tcW w:type="dxa" w:w="5400"/>
          </w:tcPr>
          <w:p>
            <w:pPr>
              <w:spacing w:after="0" w:before="0" w:line="240" w:lineRule="auto"/>
              <w:jc w:val="left"/>
            </w:pPr>
            <w:r>
              <w:t>Production order</w:t>
            </w:r>
          </w:p>
        </w:tc>
        <w:tc>
          <w:tcPr>
            <w:tcW w:type="dxa" w:w="5400"/>
          </w:tcPr>
          <w:p>
            <w:pPr>
              <w:spacing w:after="0" w:before="0" w:line="240" w:lineRule="auto"/>
              <w:jc w:val="left"/>
            </w:pPr>
            <w:r>
              <w:t>Links the part to planned production</w:t>
            </w:r>
          </w:p>
        </w:tc>
      </w:tr>
      <w:tr>
        <w:tc>
          <w:tcPr>
            <w:tcW w:type="dxa" w:w="5400"/>
          </w:tcPr>
          <w:p>
            <w:pPr>
              <w:spacing w:after="0" w:before="0" w:line="240" w:lineRule="auto"/>
              <w:jc w:val="left"/>
            </w:pPr>
            <w:r>
              <w:t>Material lot</w:t>
            </w:r>
          </w:p>
        </w:tc>
        <w:tc>
          <w:tcPr>
            <w:tcW w:type="dxa" w:w="5400"/>
          </w:tcPr>
          <w:p>
            <w:pPr>
              <w:spacing w:after="0" w:before="0" w:line="240" w:lineRule="auto"/>
              <w:jc w:val="left"/>
            </w:pPr>
            <w:r>
              <w:t>Supports material traceability</w:t>
            </w:r>
          </w:p>
        </w:tc>
      </w:tr>
      <w:tr>
        <w:tc>
          <w:tcPr>
            <w:tcW w:type="dxa" w:w="5400"/>
          </w:tcPr>
          <w:p>
            <w:pPr>
              <w:spacing w:after="0" w:before="0" w:line="240" w:lineRule="auto"/>
              <w:jc w:val="left"/>
            </w:pPr>
            <w:r>
              <w:t>Machine and station ID</w:t>
            </w:r>
          </w:p>
        </w:tc>
        <w:tc>
          <w:tcPr>
            <w:tcW w:type="dxa" w:w="5400"/>
          </w:tcPr>
          <w:p>
            <w:pPr>
              <w:spacing w:after="0" w:before="0" w:line="240" w:lineRule="auto"/>
              <w:jc w:val="left"/>
            </w:pPr>
            <w:r>
              <w:t>Identifies where the operation occurred</w:t>
            </w:r>
          </w:p>
        </w:tc>
      </w:tr>
      <w:tr>
        <w:tc>
          <w:tcPr>
            <w:tcW w:type="dxa" w:w="5400"/>
          </w:tcPr>
          <w:p>
            <w:pPr>
              <w:spacing w:after="0" w:before="0" w:line="240" w:lineRule="auto"/>
              <w:jc w:val="left"/>
            </w:pPr>
            <w:r>
              <w:t>Operation ID</w:t>
            </w:r>
          </w:p>
        </w:tc>
        <w:tc>
          <w:tcPr>
            <w:tcW w:type="dxa" w:w="5400"/>
          </w:tcPr>
          <w:p>
            <w:pPr>
              <w:spacing w:after="0" w:before="0" w:line="240" w:lineRule="auto"/>
              <w:jc w:val="left"/>
            </w:pPr>
            <w:r>
              <w:t>Identifies the manufacturing step</w:t>
            </w:r>
          </w:p>
        </w:tc>
      </w:tr>
      <w:tr>
        <w:tc>
          <w:tcPr>
            <w:tcW w:type="dxa" w:w="5400"/>
          </w:tcPr>
          <w:p>
            <w:pPr>
              <w:spacing w:after="0" w:before="0" w:line="240" w:lineRule="auto"/>
              <w:jc w:val="left"/>
            </w:pPr>
            <w:r>
              <w:t>CNC program and revision</w:t>
            </w:r>
          </w:p>
        </w:tc>
        <w:tc>
          <w:tcPr>
            <w:tcW w:type="dxa" w:w="5400"/>
          </w:tcPr>
          <w:p>
            <w:pPr>
              <w:spacing w:after="0" w:before="0" w:line="240" w:lineRule="auto"/>
              <w:jc w:val="left"/>
            </w:pPr>
            <w:r>
              <w:t>Supports process-version traceability</w:t>
            </w:r>
          </w:p>
        </w:tc>
      </w:tr>
      <w:tr>
        <w:tc>
          <w:tcPr>
            <w:tcW w:type="dxa" w:w="5400"/>
          </w:tcPr>
          <w:p>
            <w:pPr>
              <w:spacing w:after="0" w:before="0" w:line="240" w:lineRule="auto"/>
              <w:jc w:val="left"/>
            </w:pPr>
            <w:r>
              <w:t>Scan timestamp</w:t>
            </w:r>
          </w:p>
        </w:tc>
        <w:tc>
          <w:tcPr>
            <w:tcW w:type="dxa" w:w="5400"/>
          </w:tcPr>
          <w:p>
            <w:pPr>
              <w:spacing w:after="0" w:before="0" w:line="240" w:lineRule="auto"/>
              <w:jc w:val="left"/>
            </w:pPr>
            <w:r>
              <w:t>Records the identification event</w:t>
            </w:r>
          </w:p>
        </w:tc>
      </w:tr>
      <w:tr>
        <w:tc>
          <w:tcPr>
            <w:tcW w:type="dxa" w:w="5400"/>
          </w:tcPr>
          <w:p>
            <w:pPr>
              <w:spacing w:after="0" w:before="0" w:line="240" w:lineRule="auto"/>
              <w:jc w:val="left"/>
            </w:pPr>
            <w:r>
              <w:t>Operation status</w:t>
            </w:r>
          </w:p>
        </w:tc>
        <w:tc>
          <w:tcPr>
            <w:tcW w:type="dxa" w:w="5400"/>
          </w:tcPr>
          <w:p>
            <w:pPr>
              <w:spacing w:after="0" w:before="0" w:line="240" w:lineRule="auto"/>
              <w:jc w:val="left"/>
            </w:pPr>
            <w:r>
              <w:t>Records completion, failure, or exception</w:t>
            </w:r>
          </w:p>
        </w:tc>
      </w:tr>
      <w:tr>
        <w:tc>
          <w:tcPr>
            <w:tcW w:type="dxa" w:w="5400"/>
          </w:tcPr>
          <w:p>
            <w:pPr>
              <w:spacing w:after="0" w:before="0" w:line="240" w:lineRule="auto"/>
              <w:jc w:val="left"/>
            </w:pPr>
            <w:r>
              <w:t>Measurement result</w:t>
            </w:r>
          </w:p>
        </w:tc>
        <w:tc>
          <w:tcPr>
            <w:tcW w:type="dxa" w:w="5400"/>
          </w:tcPr>
          <w:p>
            <w:pPr>
              <w:spacing w:after="0" w:before="0" w:line="240" w:lineRule="auto"/>
              <w:jc w:val="left"/>
            </w:pPr>
            <w:r>
              <w:t>Stores relevant quality data</w:t>
            </w:r>
          </w:p>
        </w:tc>
      </w:tr>
      <w:tr>
        <w:tc>
          <w:tcPr>
            <w:tcW w:type="dxa" w:w="5400"/>
          </w:tcPr>
          <w:p>
            <w:pPr>
              <w:spacing w:after="0" w:before="0" w:line="240" w:lineRule="auto"/>
              <w:jc w:val="left"/>
            </w:pPr>
            <w:r>
              <w:t>Gauge or reader ID</w:t>
            </w:r>
          </w:p>
        </w:tc>
        <w:tc>
          <w:tcPr>
            <w:tcW w:type="dxa" w:w="5400"/>
          </w:tcPr>
          <w:p>
            <w:pPr>
              <w:spacing w:after="0" w:before="0" w:line="240" w:lineRule="auto"/>
              <w:jc w:val="left"/>
            </w:pPr>
            <w:r>
              <w:t>Identifies the inspection or identification equipment</w:t>
            </w:r>
          </w:p>
        </w:tc>
      </w:tr>
      <w:tr>
        <w:tc>
          <w:tcPr>
            <w:tcW w:type="dxa" w:w="5400"/>
          </w:tcPr>
          <w:p>
            <w:pPr>
              <w:spacing w:after="0" w:before="0" w:line="240" w:lineRule="auto"/>
              <w:jc w:val="left"/>
            </w:pPr>
            <w:r>
              <w:t>Operator or authorized user ID</w:t>
            </w:r>
          </w:p>
        </w:tc>
        <w:tc>
          <w:tcPr>
            <w:tcW w:type="dxa" w:w="5400"/>
          </w:tcPr>
          <w:p>
            <w:pPr>
              <w:spacing w:after="0" w:before="0" w:line="240" w:lineRule="auto"/>
              <w:jc w:val="left"/>
            </w:pPr>
            <w:r>
              <w:t>Supports controlled access and audit requirements</w:t>
            </w:r>
          </w:p>
        </w:tc>
      </w:tr>
      <w:tr>
        <w:tc>
          <w:tcPr>
            <w:tcW w:type="dxa" w:w="5400"/>
          </w:tcPr>
          <w:p>
            <w:pPr>
              <w:spacing w:after="0" w:before="0" w:line="240" w:lineRule="auto"/>
              <w:jc w:val="left"/>
            </w:pPr>
            <w:r>
              <w:t>Exception or override record</w:t>
            </w:r>
          </w:p>
        </w:tc>
        <w:tc>
          <w:tcPr>
            <w:tcW w:type="dxa" w:w="5400"/>
          </w:tcPr>
          <w:p>
            <w:pPr>
              <w:spacing w:after="0" w:before="0" w:line="240" w:lineRule="auto"/>
              <w:jc w:val="left"/>
            </w:pPr>
            <w:r>
              <w:t>Documents approved deviations from the normal workflow</w:t>
            </w:r>
          </w:p>
        </w:tc>
      </w:tr>
    </w:tbl>
    <w:p/>
    <w:p>
      <w:r>
        <w:t>Only collect personal or operational information required by the applicable policy and traceability needs. Define access permissions and retention rules for production records.</w:t>
      </w:r>
    </w:p>
    <w:p>
      <w:pPr>
        <w:pStyle w:val="Heading2"/>
      </w:pPr>
      <w:r>
        <w:t>13. Duplicate scans, unreadable codes, and exception handling</w:t>
      </w:r>
    </w:p>
    <w:p>
      <w:r>
        <w:t>Barcode systems must handle abnormal conditions explicitly rather than assuming every scan is valid.</w:t>
      </w:r>
    </w:p>
    <w:p>
      <w:pPr>
        <w:pStyle w:val="Heading3"/>
      </w:pPr>
      <w:r>
        <w:t>13.1 Duplicate scans</w:t>
      </w:r>
    </w:p>
    <w:p>
      <w:r>
        <w:t>A duplicate scan can result from repeated trigger signals, a reader retransmission, operator rescanning, or a part remaining in the read zone.</w:t>
      </w:r>
    </w:p>
    <w:p>
      <w:r>
        <w:t>The system should distinguish between:</w:t>
      </w:r>
    </w:p>
    <w:p>
      <w:pPr>
        <w:pStyle w:val="ListBullet"/>
      </w:pPr>
      <w:r>
        <w:t>A repeated read of the same part at the same operation.</w:t>
      </w:r>
    </w:p>
    <w:p>
      <w:pPr>
        <w:pStyle w:val="ListBullet"/>
      </w:pPr>
      <w:r>
        <w:t>A legitimate second operation for the same part.</w:t>
      </w:r>
    </w:p>
    <w:p>
      <w:pPr>
        <w:pStyle w:val="ListBullet"/>
      </w:pPr>
      <w:r>
        <w:t>A new part with a different serial number.</w:t>
      </w:r>
    </w:p>
    <w:p>
      <w:pPr>
        <w:pStyle w:val="ListBullet"/>
      </w:pPr>
      <w:r>
        <w:t>A retry after an earlier read failure.</w:t>
      </w:r>
    </w:p>
    <w:p>
      <w:pPr>
        <w:pStyle w:val="ListBullet"/>
      </w:pPr>
      <w:r>
        <w:t>A repeated communication message that should not create a second production transaction.</w:t>
      </w:r>
    </w:p>
    <w:p>
      <w:r>
        <w:t>Duplicate handling should be based on the business event and station state, not just the scanned text.</w:t>
      </w:r>
    </w:p>
    <w:p>
      <w:pPr>
        <w:pStyle w:val="Heading3"/>
      </w:pPr>
      <w:r>
        <w:t>13.2 Unreadable barcode</w:t>
      </w:r>
    </w:p>
    <w:p>
      <w:r>
        <w:t>Potential causes include:</w:t>
      </w:r>
    </w:p>
    <w:p>
      <w:pPr>
        <w:pStyle w:val="ListBullet"/>
      </w:pPr>
      <w:r>
        <w:t>Damaged or contaminated label.</w:t>
      </w:r>
    </w:p>
    <w:p>
      <w:pPr>
        <w:pStyle w:val="ListBullet"/>
      </w:pPr>
      <w:r>
        <w:t>Poor print quality.</w:t>
      </w:r>
    </w:p>
    <w:p>
      <w:pPr>
        <w:pStyle w:val="ListBullet"/>
      </w:pPr>
      <w:r>
        <w:t>Incorrect focus or distance.</w:t>
      </w:r>
    </w:p>
    <w:p>
      <w:pPr>
        <w:pStyle w:val="ListBullet"/>
      </w:pPr>
      <w:r>
        <w:t>Insufficient illumination.</w:t>
      </w:r>
    </w:p>
    <w:p>
      <w:pPr>
        <w:pStyle w:val="ListBullet"/>
      </w:pPr>
      <w:r>
        <w:t>Reflective metal surfaces.</w:t>
      </w:r>
    </w:p>
    <w:p>
      <w:pPr>
        <w:pStyle w:val="ListBullet"/>
      </w:pPr>
      <w:r>
        <w:t>Incorrect reader configuration.</w:t>
      </w:r>
    </w:p>
    <w:p>
      <w:pPr>
        <w:pStyle w:val="ListBullet"/>
      </w:pPr>
      <w:r>
        <w:t>Unsupported code type.</w:t>
      </w:r>
    </w:p>
    <w:p>
      <w:pPr>
        <w:pStyle w:val="ListBullet"/>
      </w:pPr>
      <w:r>
        <w:t>Damaged reader window or cable.</w:t>
      </w:r>
    </w:p>
    <w:p>
      <w:r>
        <w:t>The recovery process should permit approved cleaning, repositioning, or rescanning. Manual entry, if allowed, should require validation and leave an auditable record.</w:t>
      </w:r>
    </w:p>
    <w:p>
      <w:pPr>
        <w:pStyle w:val="Heading3"/>
      </w:pPr>
      <w:r>
        <w:t>13.3 Incorrect barcode</w:t>
      </w:r>
    </w:p>
    <w:p>
      <w:r>
        <w:t>A readable but incorrect code is more dangerous than an unreadable code because the system may accept it unless validation is performed.</w:t>
      </w:r>
    </w:p>
    <w:p>
      <w:r>
        <w:t>Examples include:</w:t>
      </w:r>
    </w:p>
    <w:p>
      <w:pPr>
        <w:pStyle w:val="ListBullet"/>
      </w:pPr>
      <w:r>
        <w:t>Wrong part label.</w:t>
      </w:r>
    </w:p>
    <w:p>
      <w:pPr>
        <w:pStyle w:val="ListBullet"/>
      </w:pPr>
      <w:r>
        <w:t>Duplicate serial number.</w:t>
      </w:r>
    </w:p>
    <w:p>
      <w:pPr>
        <w:pStyle w:val="ListBullet"/>
      </w:pPr>
      <w:r>
        <w:t>Label attached to the wrong component.</w:t>
      </w:r>
    </w:p>
    <w:p>
      <w:pPr>
        <w:pStyle w:val="ListBullet"/>
      </w:pPr>
      <w:r>
        <w:t>Incorrect operation or work-order reference.</w:t>
      </w:r>
    </w:p>
    <w:p>
      <w:pPr>
        <w:pStyle w:val="ListBullet"/>
      </w:pPr>
      <w:r>
        <w:t>Obsolete label from a previous production order.</w:t>
      </w:r>
    </w:p>
    <w:p>
      <w:pPr>
        <w:pStyle w:val="ListBullet"/>
      </w:pPr>
      <w:r>
        <w:t>Code format accepted despite invalid business meaning.</w:t>
      </w:r>
    </w:p>
    <w:p>
      <w:r>
        <w:t>Use independent validation against the production order, expected part, route, and machine context as required by the risk assessment.</w:t>
      </w:r>
    </w:p>
    <w:p>
      <w:pPr>
        <w:pStyle w:val="Heading3"/>
      </w:pPr>
      <w:r>
        <w:t>13.4 Communication loss</w:t>
      </w:r>
    </w:p>
    <w:p>
      <w:r>
        <w:t>If the reader or production system becomes unavailable, the station should follow an approved response. Depending on the risk and process, this may require holding the part, stopping the sequence, or using an authorized offline procedure.</w:t>
      </w:r>
    </w:p>
    <w:p>
      <w:r>
        <w:t>Do not silently bypass a required identity check. If offline production is permitted, define how records are buffered, how duplicate transactions are prevented, and how data is reconciled when communication returns.</w:t>
      </w:r>
    </w:p>
    <w:p>
      <w:pPr>
        <w:pStyle w:val="Heading2"/>
      </w:pPr>
      <w:r>
        <w:t>14. Barcode-related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 and corrective action</w:t>
            </w:r>
          </w:p>
        </w:tc>
      </w:tr>
      <w:tr>
        <w:tc>
          <w:tcPr>
            <w:tcW w:type="dxa" w:w="3600"/>
          </w:tcPr>
          <w:p>
            <w:pPr>
              <w:spacing w:after="0" w:before="0" w:line="240" w:lineRule="auto"/>
              <w:jc w:val="left"/>
            </w:pPr>
            <w:r>
              <w:t>No code is read</w:t>
            </w:r>
          </w:p>
        </w:tc>
        <w:tc>
          <w:tcPr>
            <w:tcW w:type="dxa" w:w="3600"/>
          </w:tcPr>
          <w:p>
            <w:pPr>
              <w:spacing w:after="0" w:before="0" w:line="240" w:lineRule="auto"/>
              <w:jc w:val="left"/>
            </w:pPr>
            <w:r>
              <w:t>Reader not triggered, poor code quality, wrong code type</w:t>
            </w:r>
          </w:p>
        </w:tc>
        <w:tc>
          <w:tcPr>
            <w:tcW w:type="dxa" w:w="3600"/>
          </w:tcPr>
          <w:p>
            <w:pPr>
              <w:spacing w:after="0" w:before="0" w:line="240" w:lineRule="auto"/>
              <w:jc w:val="left"/>
            </w:pPr>
            <w:r>
              <w:t>Check trigger, reader status, code condition, and configuration</w:t>
            </w:r>
          </w:p>
        </w:tc>
      </w:tr>
      <w:tr>
        <w:tc>
          <w:tcPr>
            <w:tcW w:type="dxa" w:w="3600"/>
          </w:tcPr>
          <w:p>
            <w:pPr>
              <w:spacing w:after="0" w:before="0" w:line="240" w:lineRule="auto"/>
              <w:jc w:val="left"/>
            </w:pPr>
            <w:r>
              <w:t>Reader reads intermittently</w:t>
            </w:r>
          </w:p>
        </w:tc>
        <w:tc>
          <w:tcPr>
            <w:tcW w:type="dxa" w:w="3600"/>
          </w:tcPr>
          <w:p>
            <w:pPr>
              <w:spacing w:after="0" w:before="0" w:line="240" w:lineRule="auto"/>
              <w:jc w:val="left"/>
            </w:pPr>
            <w:r>
              <w:t>Poor focus, vibration, glare, unstable mounting</w:t>
            </w:r>
          </w:p>
        </w:tc>
        <w:tc>
          <w:tcPr>
            <w:tcW w:type="dxa" w:w="3600"/>
          </w:tcPr>
          <w:p>
            <w:pPr>
              <w:spacing w:after="0" w:before="0" w:line="240" w:lineRule="auto"/>
              <w:jc w:val="left"/>
            </w:pPr>
            <w:r>
              <w:t>Inspect mounting, lighting, distance, and code presentation</w:t>
            </w:r>
          </w:p>
        </w:tc>
      </w:tr>
      <w:tr>
        <w:tc>
          <w:tcPr>
            <w:tcW w:type="dxa" w:w="3600"/>
          </w:tcPr>
          <w:p>
            <w:pPr>
              <w:spacing w:after="0" w:before="0" w:line="240" w:lineRule="auto"/>
              <w:jc w:val="left"/>
            </w:pPr>
            <w:r>
              <w:t>Correct code is displayed but wrong part is accepted</w:t>
            </w:r>
          </w:p>
        </w:tc>
        <w:tc>
          <w:tcPr>
            <w:tcW w:type="dxa" w:w="3600"/>
          </w:tcPr>
          <w:p>
            <w:pPr>
              <w:spacing w:after="0" w:before="0" w:line="240" w:lineRule="auto"/>
              <w:jc w:val="left"/>
            </w:pPr>
            <w:r>
              <w:t>Missing application-level validation or incorrect mapping</w:t>
            </w:r>
          </w:p>
        </w:tc>
        <w:tc>
          <w:tcPr>
            <w:tcW w:type="dxa" w:w="3600"/>
          </w:tcPr>
          <w:p>
            <w:pPr>
              <w:spacing w:after="0" w:before="0" w:line="240" w:lineRule="auto"/>
              <w:jc w:val="left"/>
            </w:pPr>
            <w:r>
              <w:t>Verify the part-to-order and part-to-operation validation logic</w:t>
            </w:r>
          </w:p>
        </w:tc>
      </w:tr>
      <w:tr>
        <w:tc>
          <w:tcPr>
            <w:tcW w:type="dxa" w:w="3600"/>
          </w:tcPr>
          <w:p>
            <w:pPr>
              <w:spacing w:after="0" w:before="0" w:line="240" w:lineRule="auto"/>
              <w:jc w:val="left"/>
            </w:pPr>
            <w:r>
              <w:t>Extra characters appear</w:t>
            </w:r>
          </w:p>
        </w:tc>
        <w:tc>
          <w:tcPr>
            <w:tcW w:type="dxa" w:w="3600"/>
          </w:tcPr>
          <w:p>
            <w:pPr>
              <w:spacing w:after="0" w:before="0" w:line="240" w:lineRule="auto"/>
              <w:jc w:val="left"/>
            </w:pPr>
            <w:r>
              <w:t>Incorrect prefix or suffix settings, keyboard-emulation behaviour</w:t>
            </w:r>
          </w:p>
        </w:tc>
        <w:tc>
          <w:tcPr>
            <w:tcW w:type="dxa" w:w="3600"/>
          </w:tcPr>
          <w:p>
            <w:pPr>
              <w:spacing w:after="0" w:before="0" w:line="240" w:lineRule="auto"/>
              <w:jc w:val="left"/>
            </w:pPr>
            <w:r>
              <w:t>Check reader formatting and application input handling</w:t>
            </w:r>
          </w:p>
        </w:tc>
      </w:tr>
      <w:tr>
        <w:tc>
          <w:tcPr>
            <w:tcW w:type="dxa" w:w="3600"/>
          </w:tcPr>
          <w:p>
            <w:pPr>
              <w:spacing w:after="0" w:before="0" w:line="240" w:lineRule="auto"/>
              <w:jc w:val="left"/>
            </w:pPr>
            <w:r>
              <w:t>Leading zeros disappear</w:t>
            </w:r>
          </w:p>
        </w:tc>
        <w:tc>
          <w:tcPr>
            <w:tcW w:type="dxa" w:w="3600"/>
          </w:tcPr>
          <w:p>
            <w:pPr>
              <w:spacing w:after="0" w:before="0" w:line="240" w:lineRule="auto"/>
              <w:jc w:val="left"/>
            </w:pPr>
            <w:r>
              <w:t>Identifier treated as a number instead of text</w:t>
            </w:r>
          </w:p>
        </w:tc>
        <w:tc>
          <w:tcPr>
            <w:tcW w:type="dxa" w:w="3600"/>
          </w:tcPr>
          <w:p>
            <w:pPr>
              <w:spacing w:after="0" w:before="0" w:line="240" w:lineRule="auto"/>
              <w:jc w:val="left"/>
            </w:pPr>
            <w:r>
              <w:t>Store and process identifiers using the correct data type</w:t>
            </w:r>
          </w:p>
        </w:tc>
      </w:tr>
      <w:tr>
        <w:tc>
          <w:tcPr>
            <w:tcW w:type="dxa" w:w="3600"/>
          </w:tcPr>
          <w:p>
            <w:pPr>
              <w:spacing w:after="0" w:before="0" w:line="240" w:lineRule="auto"/>
              <w:jc w:val="left"/>
            </w:pPr>
            <w:r>
              <w:t>Scanner reads the previous part</w:t>
            </w:r>
          </w:p>
        </w:tc>
        <w:tc>
          <w:tcPr>
            <w:tcW w:type="dxa" w:w="3600"/>
          </w:tcPr>
          <w:p>
            <w:pPr>
              <w:spacing w:after="0" w:before="0" w:line="240" w:lineRule="auto"/>
              <w:jc w:val="left"/>
            </w:pPr>
            <w:r>
              <w:t>Stale buffer or incorrect new-data handling</w:t>
            </w:r>
          </w:p>
        </w:tc>
        <w:tc>
          <w:tcPr>
            <w:tcW w:type="dxa" w:w="3600"/>
          </w:tcPr>
          <w:p>
            <w:pPr>
              <w:spacing w:after="0" w:before="0" w:line="240" w:lineRule="auto"/>
              <w:jc w:val="left"/>
            </w:pPr>
            <w:r>
              <w:t>Check buffer clearing, read-complete signals, and transaction state</w:t>
            </w:r>
          </w:p>
        </w:tc>
      </w:tr>
      <w:tr>
        <w:tc>
          <w:tcPr>
            <w:tcW w:type="dxa" w:w="3600"/>
          </w:tcPr>
          <w:p>
            <w:pPr>
              <w:spacing w:after="0" w:before="0" w:line="240" w:lineRule="auto"/>
              <w:jc w:val="left"/>
            </w:pPr>
            <w:r>
              <w:t>Same part is recorded twice</w:t>
            </w:r>
          </w:p>
        </w:tc>
        <w:tc>
          <w:tcPr>
            <w:tcW w:type="dxa" w:w="3600"/>
          </w:tcPr>
          <w:p>
            <w:pPr>
              <w:spacing w:after="0" w:before="0" w:line="240" w:lineRule="auto"/>
              <w:jc w:val="left"/>
            </w:pPr>
            <w:r>
              <w:t>Repeated trigger, retransmission, or missing duplicate protection</w:t>
            </w:r>
          </w:p>
        </w:tc>
        <w:tc>
          <w:tcPr>
            <w:tcW w:type="dxa" w:w="3600"/>
          </w:tcPr>
          <w:p>
            <w:pPr>
              <w:spacing w:after="0" w:before="0" w:line="240" w:lineRule="auto"/>
              <w:jc w:val="left"/>
            </w:pPr>
            <w:r>
              <w:t>Review event identifiers, station logic, and transaction handling</w:t>
            </w:r>
          </w:p>
        </w:tc>
      </w:tr>
      <w:tr>
        <w:tc>
          <w:tcPr>
            <w:tcW w:type="dxa" w:w="3600"/>
          </w:tcPr>
          <w:p>
            <w:pPr>
              <w:spacing w:after="0" w:before="0" w:line="240" w:lineRule="auto"/>
              <w:jc w:val="left"/>
            </w:pPr>
            <w:r>
              <w:t>Barcode reads correctly but CNC is blocked</w:t>
            </w:r>
          </w:p>
        </w:tc>
        <w:tc>
          <w:tcPr>
            <w:tcW w:type="dxa" w:w="3600"/>
          </w:tcPr>
          <w:p>
            <w:pPr>
              <w:spacing w:after="0" w:before="0" w:line="240" w:lineRule="auto"/>
              <w:jc w:val="left"/>
            </w:pPr>
            <w:r>
              <w:t>Part, program, order, fixture, or route mismatch</w:t>
            </w:r>
          </w:p>
        </w:tc>
        <w:tc>
          <w:tcPr>
            <w:tcW w:type="dxa" w:w="3600"/>
          </w:tcPr>
          <w:p>
            <w:pPr>
              <w:spacing w:after="0" w:before="0" w:line="240" w:lineRule="auto"/>
              <w:jc w:val="left"/>
            </w:pPr>
            <w:r>
              <w:t>Inspect the validation result and actual CNC context</w:t>
            </w:r>
          </w:p>
        </w:tc>
      </w:tr>
      <w:tr>
        <w:tc>
          <w:tcPr>
            <w:tcW w:type="dxa" w:w="3600"/>
          </w:tcPr>
          <w:p>
            <w:pPr>
              <w:spacing w:after="0" w:before="0" w:line="240" w:lineRule="auto"/>
              <w:jc w:val="left"/>
            </w:pPr>
            <w:r>
              <w:t>CNC runs the wrong program despite a scan</w:t>
            </w:r>
          </w:p>
        </w:tc>
        <w:tc>
          <w:tcPr>
            <w:tcW w:type="dxa" w:w="3600"/>
          </w:tcPr>
          <w:p>
            <w:pPr>
              <w:spacing w:after="0" w:before="0" w:line="240" w:lineRule="auto"/>
              <w:jc w:val="left"/>
            </w:pPr>
            <w:r>
              <w:t>Program identity is not independently verified or interlock can be bypassed</w:t>
            </w:r>
          </w:p>
        </w:tc>
        <w:tc>
          <w:tcPr>
            <w:tcW w:type="dxa" w:w="3600"/>
          </w:tcPr>
          <w:p>
            <w:pPr>
              <w:spacing w:after="0" w:before="0" w:line="240" w:lineRule="auto"/>
              <w:jc w:val="left"/>
            </w:pPr>
            <w:r>
              <w:t>Review program verification, authorization, and interlock design</w:t>
            </w:r>
          </w:p>
        </w:tc>
      </w:tr>
      <w:tr>
        <w:tc>
          <w:tcPr>
            <w:tcW w:type="dxa" w:w="3600"/>
          </w:tcPr>
          <w:p>
            <w:pPr>
              <w:spacing w:after="0" w:before="0" w:line="240" w:lineRule="auto"/>
              <w:jc w:val="left"/>
            </w:pPr>
            <w:r>
              <w:t>PLC receives no data</w:t>
            </w:r>
          </w:p>
        </w:tc>
        <w:tc>
          <w:tcPr>
            <w:tcW w:type="dxa" w:w="3600"/>
          </w:tcPr>
          <w:p>
            <w:pPr>
              <w:spacing w:after="0" w:before="0" w:line="240" w:lineRule="auto"/>
              <w:jc w:val="left"/>
            </w:pPr>
            <w:r>
              <w:t>Wiring, network, protocol, or configuration issue</w:t>
            </w:r>
          </w:p>
        </w:tc>
        <w:tc>
          <w:tcPr>
            <w:tcW w:type="dxa" w:w="3600"/>
          </w:tcPr>
          <w:p>
            <w:pPr>
              <w:spacing w:after="0" w:before="0" w:line="240" w:lineRule="auto"/>
              <w:jc w:val="left"/>
            </w:pPr>
            <w:r>
              <w:t>Check power, connection status, interface parameters, and diagnostics</w:t>
            </w:r>
          </w:p>
        </w:tc>
      </w:tr>
      <w:tr>
        <w:tc>
          <w:tcPr>
            <w:tcW w:type="dxa" w:w="3600"/>
          </w:tcPr>
          <w:p>
            <w:pPr>
              <w:spacing w:after="0" w:before="0" w:line="240" w:lineRule="auto"/>
              <w:jc w:val="left"/>
            </w:pPr>
            <w:r>
              <w:t>Database record is missing</w:t>
            </w:r>
          </w:p>
        </w:tc>
        <w:tc>
          <w:tcPr>
            <w:tcW w:type="dxa" w:w="3600"/>
          </w:tcPr>
          <w:p>
            <w:pPr>
              <w:spacing w:after="0" w:before="0" w:line="240" w:lineRule="auto"/>
              <w:jc w:val="left"/>
            </w:pPr>
            <w:r>
              <w:t>Application, network, transaction, or database error</w:t>
            </w:r>
          </w:p>
        </w:tc>
        <w:tc>
          <w:tcPr>
            <w:tcW w:type="dxa" w:w="3600"/>
          </w:tcPr>
          <w:p>
            <w:pPr>
              <w:spacing w:after="0" w:before="0" w:line="240" w:lineRule="auto"/>
              <w:jc w:val="left"/>
            </w:pPr>
            <w:r>
              <w:t>Check logs, transaction status, and approved recovery procedure</w:t>
            </w:r>
          </w:p>
        </w:tc>
      </w:tr>
      <w:tr>
        <w:tc>
          <w:tcPr>
            <w:tcW w:type="dxa" w:w="3600"/>
          </w:tcPr>
          <w:p>
            <w:pPr>
              <w:spacing w:after="0" w:before="0" w:line="240" w:lineRule="auto"/>
              <w:jc w:val="left"/>
            </w:pPr>
            <w:r>
              <w:t>Code becomes unreadable after machining</w:t>
            </w:r>
          </w:p>
        </w:tc>
        <w:tc>
          <w:tcPr>
            <w:tcW w:type="dxa" w:w="3600"/>
          </w:tcPr>
          <w:p>
            <w:pPr>
              <w:spacing w:after="0" w:before="0" w:line="240" w:lineRule="auto"/>
              <w:jc w:val="left"/>
            </w:pPr>
            <w:r>
              <w:t>Coolant, abrasion, heat, chips, or unsuitable marking method</w:t>
            </w:r>
          </w:p>
        </w:tc>
        <w:tc>
          <w:tcPr>
            <w:tcW w:type="dxa" w:w="3600"/>
          </w:tcPr>
          <w:p>
            <w:pPr>
              <w:spacing w:after="0" w:before="0" w:line="240" w:lineRule="auto"/>
              <w:jc w:val="left"/>
            </w:pPr>
            <w:r>
              <w:t>Review marking location, protection, and code verification</w:t>
            </w:r>
          </w:p>
        </w:tc>
      </w:tr>
      <w:tr>
        <w:tc>
          <w:tcPr>
            <w:tcW w:type="dxa" w:w="3600"/>
          </w:tcPr>
          <w:p>
            <w:pPr>
              <w:spacing w:after="0" w:before="0" w:line="240" w:lineRule="auto"/>
              <w:jc w:val="left"/>
            </w:pPr>
            <w:r>
              <w:t>Traceability shows the wrong station</w:t>
            </w:r>
          </w:p>
        </w:tc>
        <w:tc>
          <w:tcPr>
            <w:tcW w:type="dxa" w:w="3600"/>
          </w:tcPr>
          <w:p>
            <w:pPr>
              <w:spacing w:after="0" w:before="0" w:line="240" w:lineRule="auto"/>
              <w:jc w:val="left"/>
            </w:pPr>
            <w:r>
              <w:t>Incorrect station mapping, time configuration, or transaction association</w:t>
            </w:r>
          </w:p>
        </w:tc>
        <w:tc>
          <w:tcPr>
            <w:tcW w:type="dxa" w:w="3600"/>
          </w:tcPr>
          <w:p>
            <w:pPr>
              <w:spacing w:after="0" w:before="0" w:line="240" w:lineRule="auto"/>
              <w:jc w:val="left"/>
            </w:pPr>
            <w:r>
              <w:t>Validate station identity and event-to-part linkage</w:t>
            </w:r>
          </w:p>
        </w:tc>
      </w:tr>
    </w:tbl>
    <w:p/>
    <w:p>
      <w:r>
        <w:t>Troubleshooting should start with the earliest failed stage. A reader fault, a PLC communication fault, and an application validation failure can produce similar operator symptoms but require different corrective actions.</w:t>
      </w:r>
    </w:p>
    <w:p>
      <w:pPr>
        <w:pStyle w:val="Heading2"/>
      </w:pPr>
      <w:r>
        <w:t>15. Cybersecurity and production integrity</w:t>
      </w:r>
    </w:p>
    <w:p>
      <w:r>
        <w:t>Barcode systems can influence production decisions, especially when they select programs, release operations, or update production records. Their configuration and interfaces therefore need controlled access.</w:t>
      </w:r>
    </w:p>
    <w:p>
      <w:r>
        <w:t>Important controls include:</w:t>
      </w:r>
    </w:p>
    <w:p>
      <w:pPr>
        <w:pStyle w:val="ListBullet"/>
      </w:pPr>
      <w:r>
        <w:t>Restrict access to reader configuration, PLC logic, and production applications.</w:t>
      </w:r>
    </w:p>
    <w:p>
      <w:pPr>
        <w:pStyle w:val="ListBullet"/>
      </w:pPr>
      <w:r>
        <w:t>Use authorized change management for program and validation-rule changes.</w:t>
      </w:r>
    </w:p>
    <w:p>
      <w:pPr>
        <w:pStyle w:val="ListBullet"/>
      </w:pPr>
      <w:r>
        <w:t>Protect network communication according to plant OT security requirements.</w:t>
      </w:r>
    </w:p>
    <w:p>
      <w:pPr>
        <w:pStyle w:val="ListBullet"/>
      </w:pPr>
      <w:r>
        <w:t>Log configuration changes and authorized overrides.</w:t>
      </w:r>
    </w:p>
    <w:p>
      <w:pPr>
        <w:pStyle w:val="ListBullet"/>
      </w:pPr>
      <w:r>
        <w:t>Prevent unapproved manual entry from bypassing identity validation.</w:t>
      </w:r>
    </w:p>
    <w:p>
      <w:pPr>
        <w:pStyle w:val="ListBullet"/>
      </w:pPr>
      <w:r>
        <w:t>Back up reader configurations and relevant PLC or application settings.</w:t>
      </w:r>
    </w:p>
    <w:p>
      <w:pPr>
        <w:pStyle w:val="ListBullet"/>
      </w:pPr>
      <w:r>
        <w:t>Validate recovery after device replacement or configuration restoration.</w:t>
      </w:r>
    </w:p>
    <w:p>
      <w:pPr>
        <w:pStyle w:val="ListBullet"/>
      </w:pPr>
      <w:r>
        <w:t>Separate ordinary identification from safety-related control functions.</w:t>
      </w:r>
    </w:p>
    <w:p>
      <w:r>
        <w:t>A barcode should never be treated as authentication by itself. Anyone able to copy a printed code may be able to reproduce its contents. Where identity or authorization matters, apply appropriate authentication and access-control measures.</w:t>
      </w:r>
    </w:p>
    <w:p>
      <w:pPr>
        <w:pStyle w:val="Heading2"/>
      </w:pPr>
      <w:r>
        <w:t>16. Safety considerations</w:t>
      </w:r>
    </w:p>
    <w:p>
      <w:r>
        <w:t>Barcode identification is generally a low-risk activity, but readers and marking equipment can be part of larger automated systems.</w:t>
      </w:r>
    </w:p>
    <w:p>
      <w:pPr>
        <w:pStyle w:val="ListBullet"/>
      </w:pPr>
      <w:r>
        <w:t>Follow machine-specific procedures before entering guarded areas.</w:t>
      </w:r>
    </w:p>
    <w:p>
      <w:pPr>
        <w:pStyle w:val="ListBullet"/>
      </w:pPr>
      <w:r>
        <w:t>Never reach into a CNC machine or conveyor to scan a code while hazardous motion is possible.</w:t>
      </w:r>
    </w:p>
    <w:p>
      <w:pPr>
        <w:pStyle w:val="ListBullet"/>
      </w:pPr>
      <w:r>
        <w:t>Keep handheld readers and cables away from moving mechanisms.</w:t>
      </w:r>
    </w:p>
    <w:p>
      <w:pPr>
        <w:pStyle w:val="ListBullet"/>
      </w:pPr>
      <w:r>
        <w:t>Follow the manufacturer's safety instructions for laser marking equipment.</w:t>
      </w:r>
    </w:p>
    <w:p>
      <w:pPr>
        <w:pStyle w:val="ListBullet"/>
      </w:pPr>
      <w:r>
        <w:t>Do not bypass guards or interlocks to improve scan access.</w:t>
      </w:r>
    </w:p>
    <w:p>
      <w:pPr>
        <w:pStyle w:val="ListBullet"/>
      </w:pPr>
      <w:r>
        <w:t>Ensure scanner brackets do not obstruct doors, operator visibility, or maintenance access.</w:t>
      </w:r>
    </w:p>
    <w:p>
      <w:pPr>
        <w:pStyle w:val="ListBullet"/>
      </w:pPr>
      <w:r>
        <w:t>Isolate hazardous energy before working on equipment where required.</w:t>
      </w:r>
    </w:p>
    <w:p>
      <w:pPr>
        <w:pStyle w:val="ListBullet"/>
      </w:pPr>
      <w:r>
        <w:t>Verify that the barcode system does not interfere with safety-related controls.</w:t>
      </w:r>
    </w:p>
    <w:p>
      <w:r>
        <w:t>A production-identification failure should be handled through the defined process recovery procedure, not by defeating machine safeguards.</w:t>
      </w:r>
    </w:p>
    <w:p>
      <w:pPr>
        <w:pStyle w:val="Heading2"/>
      </w:pPr>
      <w:r>
        <w:t>17. Preventive maintenance for barcode systems</w:t>
      </w:r>
    </w:p>
    <w:p>
      <w:pPr>
        <w:pStyle w:val="Heading3"/>
      </w:pPr>
      <w:r>
        <w:t>17.1 Routine checks</w:t>
      </w:r>
    </w:p>
    <w:p>
      <w:pPr>
        <w:pStyle w:val="ListBullet"/>
      </w:pPr>
      <w:r>
        <w:t>Inspect the scanner window and clean it using the approved method.</w:t>
      </w:r>
    </w:p>
    <w:p>
      <w:pPr>
        <w:pStyle w:val="ListBullet"/>
      </w:pPr>
      <w:r>
        <w:t>Check mounting, alignment, and cable condition.</w:t>
      </w:r>
    </w:p>
    <w:p>
      <w:pPr>
        <w:pStyle w:val="ListBullet"/>
      </w:pPr>
      <w:r>
        <w:t>Confirm reader power and communication status.</w:t>
      </w:r>
    </w:p>
    <w:p>
      <w:pPr>
        <w:pStyle w:val="ListBullet"/>
      </w:pPr>
      <w:r>
        <w:t>Verify that representative production codes can be read.</w:t>
      </w:r>
    </w:p>
    <w:p>
      <w:pPr>
        <w:pStyle w:val="ListBullet"/>
      </w:pPr>
      <w:r>
        <w:t>Check that valid codes are accepted and invalid codes are rejected.</w:t>
      </w:r>
    </w:p>
    <w:p>
      <w:pPr>
        <w:pStyle w:val="ListBullet"/>
      </w:pPr>
      <w:r>
        <w:t>Confirm that duplicate scans are handled correctly.</w:t>
      </w:r>
    </w:p>
    <w:p>
      <w:pPr>
        <w:pStyle w:val="ListBullet"/>
      </w:pPr>
      <w:r>
        <w:t>Verify that the displayed part identity matches the physical component.</w:t>
      </w:r>
    </w:p>
    <w:p>
      <w:pPr>
        <w:pStyle w:val="ListBullet"/>
      </w:pPr>
      <w:r>
        <w:t>Check reader configuration and backup status where applicable.</w:t>
      </w:r>
    </w:p>
    <w:p>
      <w:pPr>
        <w:pStyle w:val="ListBullet"/>
      </w:pPr>
      <w:r>
        <w:t>Review recent scan failures and repeated alarms.</w:t>
      </w:r>
    </w:p>
    <w:p>
      <w:pPr>
        <w:pStyle w:val="Heading3"/>
      </w:pPr>
      <w:r>
        <w:t>17.2 Periodic checks</w:t>
      </w:r>
    </w:p>
    <w:p>
      <w:pPr>
        <w:pStyle w:val="ListBullet"/>
      </w:pPr>
      <w:r>
        <w:t>Verify code readability under realistic production conditions.</w:t>
      </w:r>
    </w:p>
    <w:p>
      <w:pPr>
        <w:pStyle w:val="ListBullet"/>
      </w:pPr>
      <w:r>
        <w:t>Inspect labels and direct part marks for degradation.</w:t>
      </w:r>
    </w:p>
    <w:p>
      <w:pPr>
        <w:pStyle w:val="ListBullet"/>
      </w:pPr>
      <w:r>
        <w:t>Review reader configuration and authorized changes.</w:t>
      </w:r>
    </w:p>
    <w:p>
      <w:pPr>
        <w:pStyle w:val="ListBullet"/>
      </w:pPr>
      <w:r>
        <w:t>Test communication recovery and fault handling.</w:t>
      </w:r>
    </w:p>
    <w:p>
      <w:pPr>
        <w:pStyle w:val="ListBullet"/>
      </w:pPr>
      <w:r>
        <w:t>Confirm that program and production-order validation remain correct.</w:t>
      </w:r>
    </w:p>
    <w:p>
      <w:pPr>
        <w:pStyle w:val="ListBullet"/>
      </w:pPr>
      <w:r>
        <w:t>Check database and traceability records for missing or duplicate events.</w:t>
      </w:r>
    </w:p>
    <w:p>
      <w:pPr>
        <w:pStyle w:val="ListBullet"/>
      </w:pPr>
      <w:r>
        <w:t>Review whether the marking method remains suitable for the production environment.</w:t>
      </w:r>
    </w:p>
    <w:p>
      <w:pPr>
        <w:pStyle w:val="Heading3"/>
      </w:pPr>
      <w:r>
        <w:t>17.3 Spare-parts and configuration control</w:t>
      </w:r>
    </w:p>
    <w:p>
      <w:r>
        <w:t>Maintain relevant information for:</w:t>
      </w:r>
    </w:p>
    <w:p>
      <w:pPr>
        <w:pStyle w:val="ListBullet"/>
      </w:pPr>
      <w:r>
        <w:t>Reader make, model, and identification.</w:t>
      </w:r>
    </w:p>
    <w:p>
      <w:pPr>
        <w:pStyle w:val="ListBullet"/>
      </w:pPr>
      <w:r>
        <w:t>Firmware and configuration revision where applicable.</w:t>
      </w:r>
    </w:p>
    <w:p>
      <w:pPr>
        <w:pStyle w:val="ListBullet"/>
      </w:pPr>
      <w:r>
        <w:t>Interface type and communication parameters.</w:t>
      </w:r>
    </w:p>
    <w:p>
      <w:pPr>
        <w:pStyle w:val="ListBullet"/>
      </w:pPr>
      <w:r>
        <w:t>Network address and approved network configuration.</w:t>
      </w:r>
    </w:p>
    <w:p>
      <w:pPr>
        <w:pStyle w:val="ListBullet"/>
      </w:pPr>
      <w:r>
        <w:t>Cable, bracket, lighting, and power-supply details.</w:t>
      </w:r>
    </w:p>
    <w:p>
      <w:pPr>
        <w:pStyle w:val="ListBullet"/>
      </w:pPr>
      <w:r>
        <w:t>PLC or application mapping.</w:t>
      </w:r>
    </w:p>
    <w:p>
      <w:pPr>
        <w:pStyle w:val="ListBullet"/>
      </w:pPr>
      <w:r>
        <w:t>Backup location and restoration procedure.</w:t>
      </w:r>
    </w:p>
    <w:p>
      <w:pPr>
        <w:pStyle w:val="ListBullet"/>
      </w:pPr>
      <w:r>
        <w:t>Approved replacement model and compatibility requirements.</w:t>
      </w:r>
    </w:p>
    <w:p>
      <w:r>
        <w:t>A replacement scanner that powers on and reads a test label is not necessarily a valid replacement. It must also be compatible with the code format, communication protocol, configuration, mounting, and application logic.</w:t>
      </w:r>
    </w:p>
    <w:p>
      <w:pPr>
        <w:pStyle w:val="Heading2"/>
      </w:pPr>
      <w:r>
        <w:t>18. Performance indicators</w:t>
      </w:r>
    </w:p>
    <w:p>
      <w:r>
        <w:t>Barcode performance can be monitored using a defined set of operational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indicates</w:t>
            </w:r>
          </w:p>
        </w:tc>
      </w:tr>
      <w:tr>
        <w:tc>
          <w:tcPr>
            <w:tcW w:type="dxa" w:w="5400"/>
          </w:tcPr>
          <w:p>
            <w:pPr>
              <w:spacing w:after="0" w:before="0" w:line="240" w:lineRule="auto"/>
              <w:jc w:val="left"/>
            </w:pPr>
            <w:r>
              <w:t>First-pass read rate</w:t>
            </w:r>
          </w:p>
        </w:tc>
        <w:tc>
          <w:tcPr>
            <w:tcW w:type="dxa" w:w="5400"/>
          </w:tcPr>
          <w:p>
            <w:pPr>
              <w:spacing w:after="0" w:before="0" w:line="240" w:lineRule="auto"/>
              <w:jc w:val="left"/>
            </w:pPr>
            <w:r>
              <w:t>Percentage of scan attempts that succeed on the first attempt</w:t>
            </w:r>
          </w:p>
        </w:tc>
      </w:tr>
      <w:tr>
        <w:tc>
          <w:tcPr>
            <w:tcW w:type="dxa" w:w="5400"/>
          </w:tcPr>
          <w:p>
            <w:pPr>
              <w:spacing w:after="0" w:before="0" w:line="240" w:lineRule="auto"/>
              <w:jc w:val="left"/>
            </w:pPr>
            <w:r>
              <w:t>Read-failure rate</w:t>
            </w:r>
          </w:p>
        </w:tc>
        <w:tc>
          <w:tcPr>
            <w:tcW w:type="dxa" w:w="5400"/>
          </w:tcPr>
          <w:p>
            <w:pPr>
              <w:spacing w:after="0" w:before="0" w:line="240" w:lineRule="auto"/>
              <w:jc w:val="left"/>
            </w:pPr>
            <w:r>
              <w:t>Frequency of failed reads relative to scan attempts</w:t>
            </w:r>
          </w:p>
        </w:tc>
      </w:tr>
      <w:tr>
        <w:tc>
          <w:tcPr>
            <w:tcW w:type="dxa" w:w="5400"/>
          </w:tcPr>
          <w:p>
            <w:pPr>
              <w:spacing w:after="0" w:before="0" w:line="240" w:lineRule="auto"/>
              <w:jc w:val="left"/>
            </w:pPr>
            <w:r>
              <w:t>False acceptance rate</w:t>
            </w:r>
          </w:p>
        </w:tc>
        <w:tc>
          <w:tcPr>
            <w:tcW w:type="dxa" w:w="5400"/>
          </w:tcPr>
          <w:p>
            <w:pPr>
              <w:spacing w:after="0" w:before="0" w:line="240" w:lineRule="auto"/>
              <w:jc w:val="left"/>
            </w:pPr>
            <w:r>
              <w:t>Frequency of incorrect identifiers accepted by the system</w:t>
            </w:r>
          </w:p>
        </w:tc>
      </w:tr>
      <w:tr>
        <w:tc>
          <w:tcPr>
            <w:tcW w:type="dxa" w:w="5400"/>
          </w:tcPr>
          <w:p>
            <w:pPr>
              <w:spacing w:after="0" w:before="0" w:line="240" w:lineRule="auto"/>
              <w:jc w:val="left"/>
            </w:pPr>
            <w:r>
              <w:t>Duplicate transaction rate</w:t>
            </w:r>
          </w:p>
        </w:tc>
        <w:tc>
          <w:tcPr>
            <w:tcW w:type="dxa" w:w="5400"/>
          </w:tcPr>
          <w:p>
            <w:pPr>
              <w:spacing w:after="0" w:before="0" w:line="240" w:lineRule="auto"/>
              <w:jc w:val="left"/>
            </w:pPr>
            <w:r>
              <w:t>Frequency of repeated records for the same production event</w:t>
            </w:r>
          </w:p>
        </w:tc>
      </w:tr>
      <w:tr>
        <w:tc>
          <w:tcPr>
            <w:tcW w:type="dxa" w:w="5400"/>
          </w:tcPr>
          <w:p>
            <w:pPr>
              <w:spacing w:after="0" w:before="0" w:line="240" w:lineRule="auto"/>
              <w:jc w:val="left"/>
            </w:pPr>
            <w:r>
              <w:t>Barcode-related downtime</w:t>
            </w:r>
          </w:p>
        </w:tc>
        <w:tc>
          <w:tcPr>
            <w:tcW w:type="dxa" w:w="5400"/>
          </w:tcPr>
          <w:p>
            <w:pPr>
              <w:spacing w:after="0" w:before="0" w:line="240" w:lineRule="auto"/>
              <w:jc w:val="left"/>
            </w:pPr>
            <w:r>
              <w:t>Production time lost due to identification-system faults</w:t>
            </w:r>
          </w:p>
        </w:tc>
      </w:tr>
      <w:tr>
        <w:tc>
          <w:tcPr>
            <w:tcW w:type="dxa" w:w="5400"/>
          </w:tcPr>
          <w:p>
            <w:pPr>
              <w:spacing w:after="0" w:before="0" w:line="240" w:lineRule="auto"/>
              <w:jc w:val="left"/>
            </w:pPr>
            <w:r>
              <w:t>Traceability completeness</w:t>
            </w:r>
          </w:p>
        </w:tc>
        <w:tc>
          <w:tcPr>
            <w:tcW w:type="dxa" w:w="5400"/>
          </w:tcPr>
          <w:p>
            <w:pPr>
              <w:spacing w:after="0" w:before="0" w:line="240" w:lineRule="auto"/>
              <w:jc w:val="left"/>
            </w:pPr>
            <w:r>
              <w:t>Percentage of required production events with complete records</w:t>
            </w:r>
          </w:p>
        </w:tc>
      </w:tr>
      <w:tr>
        <w:tc>
          <w:tcPr>
            <w:tcW w:type="dxa" w:w="5400"/>
          </w:tcPr>
          <w:p>
            <w:pPr>
              <w:spacing w:after="0" w:before="0" w:line="240" w:lineRule="auto"/>
              <w:jc w:val="left"/>
            </w:pPr>
            <w:r>
              <w:t>Validation mismatch rate</w:t>
            </w:r>
          </w:p>
        </w:tc>
        <w:tc>
          <w:tcPr>
            <w:tcW w:type="dxa" w:w="5400"/>
          </w:tcPr>
          <w:p>
            <w:pPr>
              <w:spacing w:after="0" w:before="0" w:line="240" w:lineRule="auto"/>
              <w:jc w:val="left"/>
            </w:pPr>
            <w:r>
              <w:t>Frequency of part, order, program, or route mismatches</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Average time required to restore a failed system</w:t>
            </w:r>
          </w:p>
        </w:tc>
      </w:tr>
      <w:tr>
        <w:tc>
          <w:tcPr>
            <w:tcW w:type="dxa" w:w="5400"/>
          </w:tcPr>
          <w:p>
            <w:pPr>
              <w:spacing w:after="0" w:before="0" w:line="240" w:lineRule="auto"/>
              <w:jc w:val="left"/>
            </w:pPr>
            <w:r>
              <w:t>Manual-entry rate</w:t>
            </w:r>
          </w:p>
        </w:tc>
        <w:tc>
          <w:tcPr>
            <w:tcW w:type="dxa" w:w="5400"/>
          </w:tcPr>
          <w:p>
            <w:pPr>
              <w:spacing w:after="0" w:before="0" w:line="240" w:lineRule="auto"/>
              <w:jc w:val="left"/>
            </w:pPr>
            <w:r>
              <w:t>Frequency of approved manual identification transactions</w:t>
            </w:r>
          </w:p>
        </w:tc>
      </w:tr>
      <w:tr>
        <w:tc>
          <w:tcPr>
            <w:tcW w:type="dxa" w:w="5400"/>
          </w:tcPr>
          <w:p>
            <w:pPr>
              <w:spacing w:after="0" w:before="0" w:line="240" w:lineRule="auto"/>
              <w:jc w:val="left"/>
            </w:pPr>
            <w:r>
              <w:t>Data-reconciliation exceptions</w:t>
            </w:r>
          </w:p>
        </w:tc>
        <w:tc>
          <w:tcPr>
            <w:tcW w:type="dxa" w:w="5400"/>
          </w:tcPr>
          <w:p>
            <w:pPr>
              <w:spacing w:after="0" w:before="0" w:line="240" w:lineRule="auto"/>
              <w:jc w:val="left"/>
            </w:pPr>
            <w:r>
              <w:t>Frequency of inconsistencies between production records and the system of record</w:t>
            </w:r>
          </w:p>
        </w:tc>
      </w:tr>
    </w:tbl>
    <w:p/>
    <w:p>
      <w:r>
        <w:t>Define the calculation method and denominator for each KPI. A high first-pass read rate does not prove that the system identifies the correct part, so read performance and validation performance must be monitored separately.</w:t>
      </w:r>
    </w:p>
    <w:p>
      <w:pPr>
        <w:pStyle w:val="Heading2"/>
      </w:pPr>
      <w:r>
        <w:t>19. RCA/CAPA examples</w:t>
      </w:r>
    </w:p>
    <w:p>
      <w:pPr>
        <w:pStyle w:val="Heading3"/>
      </w:pPr>
      <w:r>
        <w:t>Example 1: Wrong program selected</w:t>
      </w:r>
    </w:p>
    <w:p>
      <w:r>
        <w:t>Problem: A component is scanned successfully, but the machine executes a program intended for another variant.</w:t>
      </w:r>
    </w:p>
    <w:p>
      <w:r>
        <w:t>Possible root causes:</w:t>
      </w:r>
    </w:p>
    <w:p>
      <w:pPr>
        <w:pStyle w:val="ListBullet"/>
      </w:pPr>
      <w:r>
        <w:t>The application validates the part number but not the program revision.</w:t>
      </w:r>
    </w:p>
    <w:p>
      <w:pPr>
        <w:pStyle w:val="ListBullet"/>
      </w:pPr>
      <w:r>
        <w:t>Program identity is read from an editable field rather than the actual active program.</w:t>
      </w:r>
    </w:p>
    <w:p>
      <w:pPr>
        <w:pStyle w:val="ListBullet"/>
      </w:pPr>
      <w:r>
        <w:t>A bypass path allows machining without successful validation.</w:t>
      </w:r>
    </w:p>
    <w:p>
      <w:r>
        <w:t>Corrective actions:</w:t>
      </w:r>
    </w:p>
    <w:p>
      <w:pPr>
        <w:tabs>
          <w:tab w:pos="403" w:val="left"/>
        </w:tabs>
        <w:spacing w:after="40" w:line="276" w:lineRule="auto"/>
        <w:ind w:left="403" w:hanging="403"/>
        <w:jc w:val="left"/>
      </w:pPr>
      <w:r>
        <w:rPr>
          <w:color w:val="1A2E4A"/>
        </w:rPr>
        <w:t>1.</w:t>
        <w:tab/>
      </w:r>
      <w:r>
        <w:t>Contain potentially affected production and identify the impacted parts.</w:t>
      </w:r>
    </w:p>
    <w:p>
      <w:pPr>
        <w:tabs>
          <w:tab w:pos="403" w:val="left"/>
        </w:tabs>
        <w:spacing w:after="40" w:line="276" w:lineRule="auto"/>
        <w:ind w:left="403" w:hanging="403"/>
        <w:jc w:val="left"/>
      </w:pPr>
      <w:r>
        <w:rPr>
          <w:color w:val="1A2E4A"/>
        </w:rPr>
        <w:t>2.</w:t>
        <w:tab/>
      </w:r>
      <w:r>
        <w:t>Verify the actual program and revision used.</w:t>
      </w:r>
    </w:p>
    <w:p>
      <w:pPr>
        <w:tabs>
          <w:tab w:pos="403" w:val="left"/>
        </w:tabs>
        <w:spacing w:after="40" w:line="276" w:lineRule="auto"/>
        <w:ind w:left="403" w:hanging="403"/>
        <w:jc w:val="left"/>
      </w:pPr>
      <w:r>
        <w:rPr>
          <w:color w:val="1A2E4A"/>
        </w:rPr>
        <w:t>3.</w:t>
        <w:tab/>
      </w:r>
      <w:r>
        <w:t>Correct the validation logic and authorization rules.</w:t>
      </w:r>
    </w:p>
    <w:p>
      <w:pPr>
        <w:tabs>
          <w:tab w:pos="403" w:val="left"/>
        </w:tabs>
        <w:spacing w:after="40" w:line="276" w:lineRule="auto"/>
        <w:ind w:left="403" w:hanging="403"/>
        <w:jc w:val="left"/>
      </w:pPr>
      <w:r>
        <w:rPr>
          <w:color w:val="1A2E4A"/>
        </w:rPr>
        <w:t>4.</w:t>
        <w:tab/>
      </w:r>
      <w:r>
        <w:t>Test valid, invalid, and exception scenarios.</w:t>
      </w:r>
    </w:p>
    <w:p>
      <w:pPr>
        <w:tabs>
          <w:tab w:pos="403" w:val="left"/>
        </w:tabs>
        <w:spacing w:after="40" w:line="276" w:lineRule="auto"/>
        <w:ind w:left="403" w:hanging="403"/>
        <w:jc w:val="left"/>
      </w:pPr>
      <w:r>
        <w:rPr>
          <w:color w:val="1A2E4A"/>
        </w:rPr>
        <w:t>5.</w:t>
        <w:tab/>
      </w:r>
      <w:r>
        <w:t>Confirm that the required interlock cannot be bypassed unintentionally.</w:t>
      </w:r>
    </w:p>
    <w:p>
      <w:pPr>
        <w:tabs>
          <w:tab w:pos="403" w:val="left"/>
        </w:tabs>
        <w:spacing w:after="40" w:line="276" w:lineRule="auto"/>
        <w:ind w:left="403" w:hanging="403"/>
        <w:jc w:val="left"/>
      </w:pPr>
      <w:r>
        <w:rPr>
          <w:color w:val="1A2E4A"/>
        </w:rPr>
        <w:t>6.</w:t>
        <w:tab/>
      </w:r>
      <w:r>
        <w:t>Verify effectiveness through controlled production trials and record the results.</w:t>
      </w:r>
    </w:p>
    <w:p>
      <w:pPr>
        <w:pStyle w:val="Heading3"/>
      </w:pPr>
      <w:r>
        <w:t>Example 2: Repeated traceability records</w:t>
      </w:r>
    </w:p>
    <w:p>
      <w:r>
        <w:t>Problem: A single part produces multiple operation-completion records.</w:t>
      </w:r>
    </w:p>
    <w:p>
      <w:r>
        <w:t>Possible root causes:</w:t>
      </w:r>
    </w:p>
    <w:p>
      <w:pPr>
        <w:pStyle w:val="ListBullet"/>
      </w:pPr>
      <w:r>
        <w:t>The scanner retransmits data.</w:t>
      </w:r>
    </w:p>
    <w:p>
      <w:pPr>
        <w:pStyle w:val="ListBullet"/>
      </w:pPr>
      <w:r>
        <w:t>The PLC generates repeated triggers.</w:t>
      </w:r>
    </w:p>
    <w:p>
      <w:pPr>
        <w:pStyle w:val="ListBullet"/>
      </w:pPr>
      <w:r>
        <w:t>The application processes the same message more than once.</w:t>
      </w:r>
    </w:p>
    <w:p>
      <w:pPr>
        <w:pStyle w:val="ListBullet"/>
      </w:pPr>
      <w:r>
        <w:t>The database transaction lacks appropriate duplicate protection.</w:t>
      </w:r>
    </w:p>
    <w:p>
      <w:r>
        <w:t>Corrective actions:</w:t>
      </w:r>
    </w:p>
    <w:p>
      <w:pPr>
        <w:tabs>
          <w:tab w:pos="403" w:val="left"/>
        </w:tabs>
        <w:spacing w:after="40" w:line="276" w:lineRule="auto"/>
        <w:ind w:left="403" w:hanging="403"/>
        <w:jc w:val="left"/>
      </w:pPr>
      <w:r>
        <w:rPr>
          <w:color w:val="1A2E4A"/>
        </w:rPr>
        <w:t>1.</w:t>
        <w:tab/>
      </w:r>
      <w:r>
        <w:t>Identify whether duplicates originate at the reader, controller, application, or database.</w:t>
      </w:r>
    </w:p>
    <w:p>
      <w:pPr>
        <w:tabs>
          <w:tab w:pos="403" w:val="left"/>
        </w:tabs>
        <w:spacing w:after="40" w:line="276" w:lineRule="auto"/>
        <w:ind w:left="403" w:hanging="403"/>
        <w:jc w:val="left"/>
      </w:pPr>
      <w:r>
        <w:rPr>
          <w:color w:val="1A2E4A"/>
        </w:rPr>
        <w:t>2.</w:t>
        <w:tab/>
      </w:r>
      <w:r>
        <w:t>Define a unique identifier for the production event.</w:t>
      </w:r>
    </w:p>
    <w:p>
      <w:pPr>
        <w:tabs>
          <w:tab w:pos="403" w:val="left"/>
        </w:tabs>
        <w:spacing w:after="40" w:line="276" w:lineRule="auto"/>
        <w:ind w:left="403" w:hanging="403"/>
        <w:jc w:val="left"/>
      </w:pPr>
      <w:r>
        <w:rPr>
          <w:color w:val="1A2E4A"/>
        </w:rPr>
        <w:t>3.</w:t>
        <w:tab/>
      </w:r>
      <w:r>
        <w:t>Implement appropriate duplicate detection and transaction handling.</w:t>
      </w:r>
    </w:p>
    <w:p>
      <w:pPr>
        <w:tabs>
          <w:tab w:pos="403" w:val="left"/>
        </w:tabs>
        <w:spacing w:after="40" w:line="276" w:lineRule="auto"/>
        <w:ind w:left="403" w:hanging="403"/>
        <w:jc w:val="left"/>
      </w:pPr>
      <w:r>
        <w:rPr>
          <w:color w:val="1A2E4A"/>
        </w:rPr>
        <w:t>4.</w:t>
        <w:tab/>
      </w:r>
      <w:r>
        <w:t>Test rescanning, communication retries, and recovery after interruption.</w:t>
      </w:r>
    </w:p>
    <w:p>
      <w:pPr>
        <w:tabs>
          <w:tab w:pos="403" w:val="left"/>
        </w:tabs>
        <w:spacing w:after="40" w:line="276" w:lineRule="auto"/>
        <w:ind w:left="403" w:hanging="403"/>
        <w:jc w:val="left"/>
      </w:pPr>
      <w:r>
        <w:rPr>
          <w:color w:val="1A2E4A"/>
        </w:rPr>
        <w:t>5.</w:t>
        <w:tab/>
      </w:r>
      <w:r>
        <w:t>Reconcile affected production records and verify that legitimate repeat operations remain possible.</w:t>
      </w:r>
    </w:p>
    <w:p>
      <w:pPr>
        <w:pStyle w:val="Heading3"/>
      </w:pPr>
      <w:r>
        <w:t>Example 3: Barcode unreadable after machining</w:t>
      </w:r>
    </w:p>
    <w:p>
      <w:r>
        <w:t>Problem: A direct-marked code cannot be read reliably after coolant exposure and handling.</w:t>
      </w:r>
    </w:p>
    <w:p>
      <w:r>
        <w:t>Possible root causes:</w:t>
      </w:r>
    </w:p>
    <w:p>
      <w:pPr>
        <w:pStyle w:val="ListBullet"/>
      </w:pPr>
      <w:r>
        <w:t>Marking contrast is inadequate.</w:t>
      </w:r>
    </w:p>
    <w:p>
      <w:pPr>
        <w:pStyle w:val="ListBullet"/>
      </w:pPr>
      <w:r>
        <w:t>The code is placed in an exposed or contaminated area.</w:t>
      </w:r>
    </w:p>
    <w:p>
      <w:pPr>
        <w:pStyle w:val="ListBullet"/>
      </w:pPr>
      <w:r>
        <w:t>The reader configuration is unsuitable for the surface.</w:t>
      </w:r>
    </w:p>
    <w:p>
      <w:pPr>
        <w:pStyle w:val="ListBullet"/>
      </w:pPr>
      <w:r>
        <w:t>The marking method does not provide adequate durability.</w:t>
      </w:r>
    </w:p>
    <w:p>
      <w:r>
        <w:t>Corrective actions:</w:t>
      </w:r>
    </w:p>
    <w:p>
      <w:pPr>
        <w:tabs>
          <w:tab w:pos="403" w:val="left"/>
        </w:tabs>
        <w:spacing w:after="40" w:line="276" w:lineRule="auto"/>
        <w:ind w:left="403" w:hanging="403"/>
        <w:jc w:val="left"/>
      </w:pPr>
      <w:r>
        <w:rPr>
          <w:color w:val="1A2E4A"/>
        </w:rPr>
        <w:t>1.</w:t>
        <w:tab/>
      </w:r>
      <w:r>
        <w:t>Inspect the code before and after the process.</w:t>
      </w:r>
    </w:p>
    <w:p>
      <w:pPr>
        <w:tabs>
          <w:tab w:pos="403" w:val="left"/>
        </w:tabs>
        <w:spacing w:after="40" w:line="276" w:lineRule="auto"/>
        <w:ind w:left="403" w:hanging="403"/>
        <w:jc w:val="left"/>
      </w:pPr>
      <w:r>
        <w:rPr>
          <w:color w:val="1A2E4A"/>
        </w:rPr>
        <w:t>2.</w:t>
        <w:tab/>
      </w:r>
      <w:r>
        <w:t>Identify when readability deteriorates.</w:t>
      </w:r>
    </w:p>
    <w:p>
      <w:pPr>
        <w:tabs>
          <w:tab w:pos="403" w:val="left"/>
        </w:tabs>
        <w:spacing w:after="40" w:line="276" w:lineRule="auto"/>
        <w:ind w:left="403" w:hanging="403"/>
        <w:jc w:val="left"/>
      </w:pPr>
      <w:r>
        <w:rPr>
          <w:color w:val="1A2E4A"/>
        </w:rPr>
        <w:t>3.</w:t>
        <w:tab/>
      </w:r>
      <w:r>
        <w:t>Evaluate the approved marking location, marking method, and reader setup.</w:t>
      </w:r>
    </w:p>
    <w:p>
      <w:pPr>
        <w:tabs>
          <w:tab w:pos="403" w:val="left"/>
        </w:tabs>
        <w:spacing w:after="40" w:line="276" w:lineRule="auto"/>
        <w:ind w:left="403" w:hanging="403"/>
        <w:jc w:val="left"/>
      </w:pPr>
      <w:r>
        <w:rPr>
          <w:color w:val="1A2E4A"/>
        </w:rPr>
        <w:t>4.</w:t>
        <w:tab/>
      </w:r>
      <w:r>
        <w:t>Validate the revised method under representative conditions.</w:t>
      </w:r>
    </w:p>
    <w:p>
      <w:pPr>
        <w:tabs>
          <w:tab w:pos="403" w:val="left"/>
        </w:tabs>
        <w:spacing w:after="40" w:line="276" w:lineRule="auto"/>
        <w:ind w:left="403" w:hanging="403"/>
        <w:jc w:val="left"/>
      </w:pPr>
      <w:r>
        <w:rPr>
          <w:color w:val="1A2E4A"/>
        </w:rPr>
        <w:t>5.</w:t>
        <w:tab/>
      </w:r>
      <w:r>
        <w:t>Update the marking specification and preventive inspection procedure.</w:t>
      </w:r>
    </w:p>
    <w:p>
      <w:pPr>
        <w:pStyle w:val="Heading2"/>
      </w:pPr>
      <w:r>
        <w:t>20. Practical exercises</w:t>
      </w:r>
    </w:p>
    <w:p>
      <w:pPr>
        <w:pStyle w:val="Heading3"/>
      </w:pPr>
      <w:r>
        <w:t>Exercise 1: Design a part-identification workflow</w:t>
      </w:r>
    </w:p>
    <w:p>
      <w:r>
        <w:t>Define how a serialized CNC component is identified before machining.</w:t>
      </w:r>
    </w:p>
    <w:p>
      <w:r>
        <w:t>Include:</w:t>
      </w:r>
    </w:p>
    <w:p>
      <w:pPr>
        <w:pStyle w:val="ListBullet"/>
      </w:pPr>
      <w:r>
        <w:t>Part and serial-number format.</w:t>
      </w:r>
    </w:p>
    <w:p>
      <w:pPr>
        <w:pStyle w:val="ListBullet"/>
      </w:pPr>
      <w:r>
        <w:t>Scanner type and interface.</w:t>
      </w:r>
    </w:p>
    <w:p>
      <w:pPr>
        <w:pStyle w:val="ListBullet"/>
      </w:pPr>
      <w:r>
        <w:t>Production-order validation.</w:t>
      </w:r>
    </w:p>
    <w:p>
      <w:pPr>
        <w:pStyle w:val="ListBullet"/>
      </w:pPr>
      <w:r>
        <w:t>Program and revision verification.</w:t>
      </w:r>
    </w:p>
    <w:p>
      <w:pPr>
        <w:pStyle w:val="ListBullet"/>
      </w:pPr>
      <w:r>
        <w:t>Failure and recovery behaviour.</w:t>
      </w:r>
    </w:p>
    <w:p>
      <w:pPr>
        <w:pStyle w:val="ListBullet"/>
      </w:pPr>
      <w:r>
        <w:t>Production-record fields.</w:t>
      </w:r>
    </w:p>
    <w:p>
      <w:pPr>
        <w:pStyle w:val="ListBullet"/>
      </w:pPr>
      <w:r>
        <w:t>Required interlocks and access controls.</w:t>
      </w:r>
    </w:p>
    <w:p>
      <w:pPr>
        <w:pStyle w:val="Heading3"/>
      </w:pPr>
      <w:r>
        <w:t>Exercise 2: Diagnose intermittent reading</w:t>
      </w:r>
    </w:p>
    <w:p>
      <w:r>
        <w:t>A fixed reader works during manual testing but intermittently fails when parts move through the production station.</w:t>
      </w:r>
    </w:p>
    <w:p>
      <w:r>
        <w:t>Investigate:</w:t>
      </w:r>
    </w:p>
    <w:p>
      <w:pPr>
        <w:tabs>
          <w:tab w:pos="403" w:val="left"/>
        </w:tabs>
        <w:spacing w:after="40" w:line="276" w:lineRule="auto"/>
        <w:ind w:left="403" w:hanging="403"/>
        <w:jc w:val="left"/>
      </w:pPr>
      <w:r>
        <w:rPr>
          <w:color w:val="1A2E4A"/>
        </w:rPr>
        <w:t>1.</w:t>
        <w:tab/>
      </w:r>
      <w:r>
        <w:t>Trigger timing and part position.</w:t>
      </w:r>
    </w:p>
    <w:p>
      <w:pPr>
        <w:tabs>
          <w:tab w:pos="403" w:val="left"/>
        </w:tabs>
        <w:spacing w:after="40" w:line="276" w:lineRule="auto"/>
        <w:ind w:left="403" w:hanging="403"/>
        <w:jc w:val="left"/>
      </w:pPr>
      <w:r>
        <w:rPr>
          <w:color w:val="1A2E4A"/>
        </w:rPr>
        <w:t>2.</w:t>
        <w:tab/>
      </w:r>
      <w:r>
        <w:t>Reader mounting and vibration.</w:t>
      </w:r>
    </w:p>
    <w:p>
      <w:pPr>
        <w:tabs>
          <w:tab w:pos="403" w:val="left"/>
        </w:tabs>
        <w:spacing w:after="40" w:line="276" w:lineRule="auto"/>
        <w:ind w:left="403" w:hanging="403"/>
        <w:jc w:val="left"/>
      </w:pPr>
      <w:r>
        <w:rPr>
          <w:color w:val="1A2E4A"/>
        </w:rPr>
        <w:t>3.</w:t>
        <w:tab/>
      </w:r>
      <w:r>
        <w:t>Lighting, focus, and surface reflectivity.</w:t>
      </w:r>
    </w:p>
    <w:p>
      <w:pPr>
        <w:tabs>
          <w:tab w:pos="403" w:val="left"/>
        </w:tabs>
        <w:spacing w:after="40" w:line="276" w:lineRule="auto"/>
        <w:ind w:left="403" w:hanging="403"/>
        <w:jc w:val="left"/>
      </w:pPr>
      <w:r>
        <w:rPr>
          <w:color w:val="1A2E4A"/>
        </w:rPr>
        <w:t>4.</w:t>
        <w:tab/>
      </w:r>
      <w:r>
        <w:t>Code quality and orientation.</w:t>
      </w:r>
    </w:p>
    <w:p>
      <w:pPr>
        <w:tabs>
          <w:tab w:pos="403" w:val="left"/>
        </w:tabs>
        <w:spacing w:after="40" w:line="276" w:lineRule="auto"/>
        <w:ind w:left="403" w:hanging="403"/>
        <w:jc w:val="left"/>
      </w:pPr>
      <w:r>
        <w:rPr>
          <w:color w:val="1A2E4A"/>
        </w:rPr>
        <w:t>5.</w:t>
        <w:tab/>
      </w:r>
      <w:r>
        <w:t>Communication status and application timeouts.</w:t>
      </w:r>
    </w:p>
    <w:p>
      <w:pPr>
        <w:tabs>
          <w:tab w:pos="403" w:val="left"/>
        </w:tabs>
        <w:spacing w:after="40" w:line="276" w:lineRule="auto"/>
        <w:ind w:left="403" w:hanging="403"/>
        <w:jc w:val="left"/>
      </w:pPr>
      <w:r>
        <w:rPr>
          <w:color w:val="1A2E4A"/>
        </w:rPr>
        <w:t>6.</w:t>
        <w:tab/>
      </w:r>
      <w:r>
        <w:t>Whether failures correlate with machine cycle timing.</w:t>
      </w:r>
    </w:p>
    <w:p>
      <w:pPr>
        <w:pStyle w:val="Heading3"/>
      </w:pPr>
      <w:r>
        <w:t>Exercise 3: Validate an interlock</w:t>
      </w:r>
    </w:p>
    <w:p>
      <w:r>
        <w:t>Prepare test cases for:</w:t>
      </w:r>
    </w:p>
    <w:p>
      <w:pPr>
        <w:pStyle w:val="ListBullet"/>
      </w:pPr>
      <w:r>
        <w:t>Correct part and correct program.</w:t>
      </w:r>
    </w:p>
    <w:p>
      <w:pPr>
        <w:pStyle w:val="ListBullet"/>
      </w:pPr>
      <w:r>
        <w:t>Incorrect part.</w:t>
      </w:r>
    </w:p>
    <w:p>
      <w:pPr>
        <w:pStyle w:val="ListBullet"/>
      </w:pPr>
      <w:r>
        <w:t>Incorrect program revision.</w:t>
      </w:r>
    </w:p>
    <w:p>
      <w:pPr>
        <w:pStyle w:val="ListBullet"/>
      </w:pPr>
      <w:r>
        <w:t>Unreadable barcode.</w:t>
      </w:r>
    </w:p>
    <w:p>
      <w:pPr>
        <w:pStyle w:val="ListBullet"/>
      </w:pPr>
      <w:r>
        <w:t>Duplicate scan.</w:t>
      </w:r>
    </w:p>
    <w:p>
      <w:pPr>
        <w:pStyle w:val="ListBullet"/>
      </w:pPr>
      <w:r>
        <w:t>Reader communication failure.</w:t>
      </w:r>
    </w:p>
    <w:p>
      <w:pPr>
        <w:pStyle w:val="ListBullet"/>
      </w:pPr>
      <w:r>
        <w:t>Database unavailable.</w:t>
      </w:r>
    </w:p>
    <w:p>
      <w:pPr>
        <w:pStyle w:val="ListBullet"/>
      </w:pPr>
      <w:r>
        <w:t>Authorized recovery procedure.</w:t>
      </w:r>
    </w:p>
    <w:p>
      <w:r>
        <w:t>Verify the actual machine behaviour against the approved control specification. Do not test by bypassing required safety functions.</w:t>
      </w:r>
    </w:p>
    <w:p>
      <w:pPr>
        <w:pStyle w:val="Heading3"/>
      </w:pPr>
      <w:r>
        <w:t>Exercise 4: Audit traceability</w:t>
      </w:r>
    </w:p>
    <w:p>
      <w:r>
        <w:t>Choose one completed component and trace its records through:</w:t>
      </w:r>
    </w:p>
    <w:p>
      <w:pPr>
        <w:tabs>
          <w:tab w:pos="403" w:val="left"/>
        </w:tabs>
        <w:spacing w:after="40" w:line="276" w:lineRule="auto"/>
        <w:ind w:left="403" w:hanging="403"/>
        <w:jc w:val="left"/>
      </w:pPr>
      <w:r>
        <w:rPr>
          <w:color w:val="1A2E4A"/>
        </w:rPr>
        <w:t>1.</w:t>
        <w:tab/>
      </w:r>
      <w:r>
        <w:t>Part and material identification.</w:t>
      </w:r>
    </w:p>
    <w:p>
      <w:pPr>
        <w:tabs>
          <w:tab w:pos="403" w:val="left"/>
        </w:tabs>
        <w:spacing w:after="40" w:line="276" w:lineRule="auto"/>
        <w:ind w:left="403" w:hanging="403"/>
        <w:jc w:val="left"/>
      </w:pPr>
      <w:r>
        <w:rPr>
          <w:color w:val="1A2E4A"/>
        </w:rPr>
        <w:t>2.</w:t>
        <w:tab/>
      </w:r>
      <w:r>
        <w:t>Production order.</w:t>
      </w:r>
    </w:p>
    <w:p>
      <w:pPr>
        <w:tabs>
          <w:tab w:pos="403" w:val="left"/>
        </w:tabs>
        <w:spacing w:after="40" w:line="276" w:lineRule="auto"/>
        <w:ind w:left="403" w:hanging="403"/>
        <w:jc w:val="left"/>
      </w:pPr>
      <w:r>
        <w:rPr>
          <w:color w:val="1A2E4A"/>
        </w:rPr>
        <w:t>3.</w:t>
        <w:tab/>
      </w:r>
      <w:r>
        <w:t>CNC machine and operation.</w:t>
      </w:r>
    </w:p>
    <w:p>
      <w:pPr>
        <w:tabs>
          <w:tab w:pos="403" w:val="left"/>
        </w:tabs>
        <w:spacing w:after="40" w:line="276" w:lineRule="auto"/>
        <w:ind w:left="403" w:hanging="403"/>
        <w:jc w:val="left"/>
      </w:pPr>
      <w:r>
        <w:rPr>
          <w:color w:val="1A2E4A"/>
        </w:rPr>
        <w:t>4.</w:t>
        <w:tab/>
      </w:r>
      <w:r>
        <w:t>Program revision.</w:t>
      </w:r>
    </w:p>
    <w:p>
      <w:pPr>
        <w:tabs>
          <w:tab w:pos="403" w:val="left"/>
        </w:tabs>
        <w:spacing w:after="40" w:line="276" w:lineRule="auto"/>
        <w:ind w:left="403" w:hanging="403"/>
        <w:jc w:val="left"/>
      </w:pPr>
      <w:r>
        <w:rPr>
          <w:color w:val="1A2E4A"/>
        </w:rPr>
        <w:t>5.</w:t>
        <w:tab/>
      </w:r>
      <w:r>
        <w:t>Inspection results.</w:t>
      </w:r>
    </w:p>
    <w:p>
      <w:pPr>
        <w:tabs>
          <w:tab w:pos="403" w:val="left"/>
        </w:tabs>
        <w:spacing w:after="40" w:line="276" w:lineRule="auto"/>
        <w:ind w:left="403" w:hanging="403"/>
        <w:jc w:val="left"/>
      </w:pPr>
      <w:r>
        <w:rPr>
          <w:color w:val="1A2E4A"/>
        </w:rPr>
        <w:t>6.</w:t>
        <w:tab/>
      </w:r>
      <w:r>
        <w:t>Operation-completion record.</w:t>
      </w:r>
    </w:p>
    <w:p>
      <w:pPr>
        <w:tabs>
          <w:tab w:pos="403" w:val="left"/>
        </w:tabs>
        <w:spacing w:after="40" w:line="276" w:lineRule="auto"/>
        <w:ind w:left="403" w:hanging="403"/>
        <w:jc w:val="left"/>
      </w:pPr>
      <w:r>
        <w:rPr>
          <w:color w:val="1A2E4A"/>
        </w:rPr>
        <w:t>7.</w:t>
        <w:tab/>
      </w:r>
      <w:r>
        <w:t>Next operation or final disposition.</w:t>
      </w:r>
    </w:p>
    <w:p>
      <w:r>
        <w:t>Identify missing links, duplicate records, or inconsistent identifiers.</w:t>
      </w:r>
    </w:p>
    <w:p>
      <w:pPr>
        <w:pStyle w:val="Heading2"/>
      </w:pPr>
      <w:r>
        <w:t>21. Competency checklist</w:t>
      </w:r>
    </w:p>
    <w:p>
      <w:pPr>
        <w:pStyle w:val="ListBullet"/>
      </w:pPr>
      <w:r>
        <w:t>Explain linear and two-dimensional barcode formats.</w:t>
      </w:r>
    </w:p>
    <w:p>
      <w:pPr>
        <w:pStyle w:val="ListBullet"/>
      </w:pPr>
      <w:r>
        <w:t>Distinguish barcode identification from RFID.</w:t>
      </w:r>
    </w:p>
    <w:p>
      <w:pPr>
        <w:pStyle w:val="ListBullet"/>
      </w:pPr>
      <w:r>
        <w:t>Explain the components of an industrial barcode system.</w:t>
      </w:r>
    </w:p>
    <w:p>
      <w:pPr>
        <w:pStyle w:val="ListBullet"/>
      </w:pPr>
      <w:r>
        <w:t>Select a suitable reader and interface for a CNC application.</w:t>
      </w:r>
    </w:p>
    <w:p>
      <w:pPr>
        <w:pStyle w:val="ListBullet"/>
      </w:pPr>
      <w:r>
        <w:t>Define an identifier scheme for parts, batches, tools, and fixtures.</w:t>
      </w:r>
    </w:p>
    <w:p>
      <w:pPr>
        <w:pStyle w:val="ListBullet"/>
      </w:pPr>
      <w:r>
        <w:t>Explain barcode-based part and CNC program verification.</w:t>
      </w:r>
    </w:p>
    <w:p>
      <w:pPr>
        <w:pStyle w:val="ListBullet"/>
      </w:pPr>
      <w:r>
        <w:t>Describe integration with PLC, CNC, MES, ERP, and databases.</w:t>
      </w:r>
    </w:p>
    <w:p>
      <w:pPr>
        <w:pStyle w:val="ListBullet"/>
      </w:pPr>
      <w:r>
        <w:t>Diagnose unreadable, duplicated, stale, or incorrect barcode data.</w:t>
      </w:r>
    </w:p>
    <w:p>
      <w:pPr>
        <w:pStyle w:val="ListBullet"/>
      </w:pPr>
      <w:r>
        <w:t>Explain traceability records and transaction handling.</w:t>
      </w:r>
    </w:p>
    <w:p>
      <w:pPr>
        <w:pStyle w:val="ListBullet"/>
      </w:pPr>
      <w:r>
        <w:t>Maintain reader configurations, backups, and preventive checks.</w:t>
      </w:r>
    </w:p>
    <w:p>
      <w:pPr>
        <w:pStyle w:val="ListBullet"/>
      </w:pPr>
      <w:r>
        <w:t>Identify cybersecurity and safety requirements.</w:t>
      </w:r>
    </w:p>
    <w:p>
      <w:pPr>
        <w:pStyle w:val="ListBullet"/>
      </w:pPr>
      <w:r>
        <w:t>Conduct a barcode-system RCA and verify corrective-action effectiveness.</w:t>
      </w:r>
    </w:p>
    <w:p>
      <w:pPr>
        <w:pStyle w:val="Heading2"/>
      </w:pPr>
      <w:r>
        <w:t>22. Technical summary</w:t>
      </w:r>
    </w:p>
    <w:p>
      <w:r>
        <w:t>Barcode systems provide a link between the physical component and its digital production history. In CNC machining, their most valuable applications include part identification, program verification, operation tracking, tool and fixture identification, and quality traceability.</w:t>
      </w:r>
    </w:p>
    <w:p>
      <w:r>
        <w:t>Reliable implementation requires more than installing a scanner. The complete system must validate the scanned data against the production context, handle communication and duplicate-event failures, preserve traceability, and prevent unapproved bypasses.</w:t>
      </w:r>
    </w:p>
    <w:p>
      <w:r>
        <w:t>The central rule is read the code, validate its meaning, verify the production context, and record the result. A readable barcode is only the beginning of a reliable identification process.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02_PLAN_WISE_2026\02_INDUSTRY3_0\29_Line_Systems\05_Machining\09_Tool_Offsets - Tool offsets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Barcode Systems in CNC Machining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