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3CB8B" w14:textId="77777777" w:rsidR="00FE3488" w:rsidRDefault="00000000">
      <w:pPr>
        <w:spacing w:after="80"/>
        <w:jc w:val="center"/>
      </w:pPr>
      <w:r>
        <w:rPr>
          <w:rFonts w:ascii="Calibri" w:hAnsi="Calibri"/>
          <w:b/>
          <w:color w:val="1F4E79"/>
          <w:sz w:val="40"/>
        </w:rPr>
        <w:t>Active-Learning Hyperspectral Plant &amp; Invasive Species Segmentation via Adapted SAM 2</w:t>
      </w:r>
    </w:p>
    <w:p w14:paraId="7DB48ED3" w14:textId="77777777" w:rsidR="00FE3488" w:rsidRDefault="00000000">
      <w:pPr>
        <w:spacing w:after="360"/>
        <w:jc w:val="center"/>
      </w:pPr>
      <w:r>
        <w:rPr>
          <w:rFonts w:ascii="Calibri" w:hAnsi="Calibri"/>
          <w:i/>
          <w:color w:val="595959"/>
        </w:rPr>
        <w:t>Comprehensive Technical Documentation: System Architecture, Dataset Specifications, Workflow, and Simulated Liquid Galaxy Methodology</w:t>
      </w:r>
      <w:r>
        <w:rPr>
          <w:rFonts w:ascii="Calibri" w:hAnsi="Calibri"/>
          <w:i/>
          <w:color w:val="595959"/>
        </w:rPr>
        <w:br/>
        <w:t>B.Tech Major Project Documentation</w:t>
      </w:r>
    </w:p>
    <w:p w14:paraId="12D8341C" w14:textId="77777777" w:rsidR="00FE3488" w:rsidRDefault="00FE3488">
      <w:pPr>
        <w:spacing w:after="120"/>
      </w:pPr>
    </w:p>
    <w:p w14:paraId="0B53C89A" w14:textId="77777777" w:rsidR="00FE3488" w:rsidRDefault="00000000">
      <w:pPr>
        <w:pStyle w:val="Heading1"/>
        <w:spacing w:before="120" w:after="120"/>
      </w:pPr>
      <w:r>
        <w:t>1. Executive Summary &amp; Scope</w:t>
      </w:r>
    </w:p>
    <w:p w14:paraId="284378CA" w14:textId="77777777" w:rsidR="00FE3488" w:rsidRDefault="00000000">
      <w:r>
        <w:t xml:space="preserve">This project introduces an end-to-end framework for high-precision vegetation mapping and invasive plant species segmentation using Hyperspectral Imaging (HSI) and Vision Foundation Models (Meta's Segment Anything Model 2 - SAM 2). Hyperspectral data provides hundreds of continuous spectral bands capturing subtle chemical, moisture, and chlorophyll variations impossible to distinguish in standard RGB images. However, deep learning on HSI has historically suffered from two fundamental roadblocks: </w:t>
      </w:r>
      <w:r>
        <w:rPr>
          <w:b/>
        </w:rPr>
        <w:t>(1) the massive cost of dense pixel-level labeling by expert botanists, and (2) the extreme computational overhead and scarcity of domain-specific pre-trained foundation models.</w:t>
      </w:r>
    </w:p>
    <w:p w14:paraId="3F7DA3BE" w14:textId="77777777" w:rsidR="00FE3488" w:rsidRDefault="00000000">
      <w:r>
        <w:t xml:space="preserve">To solve both problems simultaneously under zero-budget constraints, our methodology combines: </w:t>
      </w:r>
    </w:p>
    <w:p w14:paraId="51FF7901" w14:textId="77777777" w:rsidR="00FE3488" w:rsidRDefault="00000000">
      <w:pPr>
        <w:pStyle w:val="ListBullet"/>
      </w:pPr>
      <w:r>
        <w:t>• A parameter-efficient spectral adaptation of SAM 2.1 (freezing 98.87% of the model and training only 1.13% of parameters via Spectral Cross-Attention and LoRA).</w:t>
      </w:r>
    </w:p>
    <w:p w14:paraId="50D1F20E" w14:textId="77777777" w:rsidR="00FE3488" w:rsidRDefault="00000000">
      <w:pPr>
        <w:pStyle w:val="ListBullet"/>
      </w:pPr>
      <w:r>
        <w:t>• A Bayesian Active Learning loop using Monte Carlo Dropout (MC-Dropout) that targets high-uncertainty pixels within NDVI vegetation regions, reducing labeling requirements by 94.5%.</w:t>
      </w:r>
    </w:p>
    <w:p w14:paraId="213FE2FF" w14:textId="77777777" w:rsidR="00FE3488" w:rsidRDefault="00000000">
      <w:pPr>
        <w:pStyle w:val="ListBullet"/>
      </w:pPr>
      <w:r>
        <w:t>• A single-machine multi-view interactive visualizer modeling the Liquid Galaxy panoramic presentation concept.</w:t>
      </w:r>
    </w:p>
    <w:tbl>
      <w:tblPr>
        <w:tblW w:w="0" w:type="auto"/>
        <w:jc w:val="center"/>
        <w:tblLook w:val="04A0" w:firstRow="1" w:lastRow="0" w:firstColumn="1" w:lastColumn="0" w:noHBand="0" w:noVBand="1"/>
      </w:tblPr>
      <w:tblGrid>
        <w:gridCol w:w="9360"/>
      </w:tblGrid>
      <w:tr w:rsidR="00FE3488" w14:paraId="712E7D19" w14:textId="77777777">
        <w:trPr>
          <w:jc w:val="center"/>
        </w:trPr>
        <w:tc>
          <w:tcPr>
            <w:tcW w:w="9360" w:type="dxa"/>
            <w:shd w:val="clear" w:color="auto" w:fill="EBF3FA"/>
            <w:tcMar>
              <w:top w:w="140" w:type="dxa"/>
              <w:left w:w="200" w:type="dxa"/>
              <w:bottom w:w="140" w:type="dxa"/>
              <w:right w:w="200" w:type="dxa"/>
            </w:tcMar>
          </w:tcPr>
          <w:p w14:paraId="2AF4174C" w14:textId="77777777" w:rsidR="00FE3488" w:rsidRDefault="00000000">
            <w:pPr>
              <w:spacing w:before="40" w:after="40"/>
            </w:pPr>
            <w:r>
              <w:rPr>
                <w:rFonts w:ascii="Calibri" w:hAnsi="Calibri"/>
                <w:b/>
                <w:color w:val="1F4E79"/>
                <w:sz w:val="20"/>
              </w:rPr>
              <w:t xml:space="preserve">Key Achievement: </w:t>
            </w:r>
            <w:r>
              <w:rPr>
                <w:rFonts w:ascii="Calibri" w:hAnsi="Calibri"/>
                <w:sz w:val="20"/>
              </w:rPr>
              <w:t>Achieved 91.06% Overall Accuracy and 81.66% mIoU on the Pavia University benchmark in 15 minutes of training on a free Google Colab T4 GPU. Active learning achieved 74.74% mIoU with only 5.5% labeled pixels (+8.87% over passive random sampling).</w:t>
            </w:r>
          </w:p>
        </w:tc>
      </w:tr>
    </w:tbl>
    <w:p w14:paraId="1F8214A8" w14:textId="77777777" w:rsidR="00FE3488" w:rsidRDefault="00FE3488">
      <w:pPr>
        <w:spacing w:after="80"/>
      </w:pPr>
    </w:p>
    <w:p w14:paraId="5C5F2C26" w14:textId="77777777" w:rsidR="00FE3488" w:rsidRDefault="00000000">
      <w:pPr>
        <w:pStyle w:val="Heading1"/>
        <w:spacing w:before="240" w:after="120"/>
      </w:pPr>
      <w:r>
        <w:lastRenderedPageBreak/>
        <w:t>2. Detailed System Architecture</w:t>
      </w:r>
    </w:p>
    <w:p w14:paraId="737942E0" w14:textId="6050CD11" w:rsidR="00200A1F" w:rsidRPr="00200A1F" w:rsidRDefault="00200A1F" w:rsidP="00200A1F">
      <w:r>
        <w:rPr>
          <w:noProof/>
        </w:rPr>
        <w:drawing>
          <wp:inline distT="0" distB="0" distL="0" distR="0" wp14:anchorId="3B3E25B8" wp14:editId="4DC55C10">
            <wp:extent cx="5943600" cy="3260090"/>
            <wp:effectExtent l="0" t="0" r="0" b="0"/>
            <wp:docPr id="1873088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60090"/>
                    </a:xfrm>
                    <a:prstGeom prst="rect">
                      <a:avLst/>
                    </a:prstGeom>
                    <a:noFill/>
                    <a:ln>
                      <a:noFill/>
                    </a:ln>
                  </pic:spPr>
                </pic:pic>
              </a:graphicData>
            </a:graphic>
          </wp:inline>
        </w:drawing>
      </w:r>
    </w:p>
    <w:p w14:paraId="4A2D93B5" w14:textId="77777777" w:rsidR="00FE3488" w:rsidRDefault="00000000">
      <w:r>
        <w:t>The architecture uses a dual-stream spatial-spectral design that bridges high-dimensional hyperspectral inputs (103 to 200 bands) into a pre-trained hierarchical vision transformer backbone (SAM 2.1 Hiera Base+):</w:t>
      </w:r>
    </w:p>
    <w:p w14:paraId="518861CB" w14:textId="77777777" w:rsidR="00FE3488" w:rsidRDefault="00000000">
      <w:pPr>
        <w:pStyle w:val="Heading2"/>
        <w:spacing w:before="240" w:after="120"/>
      </w:pPr>
      <w:r>
        <w:t>2.1. Dual-Stream Structural Design</w:t>
      </w:r>
    </w:p>
    <w:p w14:paraId="781C76D1" w14:textId="77777777" w:rsidR="00FE3488" w:rsidRDefault="00000000">
      <w:pPr>
        <w:pStyle w:val="ListNumber"/>
      </w:pPr>
      <w:r>
        <w:t>1. Spectral Cross-Attention Stream: Ingests the full normalized HSI cube (B x H x W). It treats spectral channels at each spatial patch as continuous token sequences, querying them using a learnable bank of spectral query vectors (M = 8) to extract band-absorption signatures.</w:t>
      </w:r>
    </w:p>
    <w:p w14:paraId="77073A77" w14:textId="77777777" w:rsidR="00FE3488" w:rsidRDefault="00000000">
      <w:pPr>
        <w:pStyle w:val="ListNumber"/>
      </w:pPr>
      <w:r>
        <w:t>2. Spatial Vision Transformer Stream: Compresses the HSI cube into 3 principal components via PCA. This 3-channel pseudo-RGB representation is fed into the frozen SAM 2.1 Hiera backbone, preserving its rich pre-trained multi-scale edge and texture priors.</w:t>
      </w:r>
    </w:p>
    <w:p w14:paraId="6B5AE1E3" w14:textId="77777777" w:rsidR="00FE3488" w:rsidRDefault="00000000">
      <w:pPr>
        <w:pStyle w:val="ListNumber"/>
      </w:pPr>
      <w:r>
        <w:t>3. Feature Fusion &amp; Segmentation Head: The spatial backbone features and spectral adapter embeddings are fused via residual addition and mapped to class probability distributions via a 2-Layer Multi-Layer Perceptron (MLP) head.</w:t>
      </w:r>
    </w:p>
    <w:p w14:paraId="1898A8A5" w14:textId="77777777" w:rsidR="00FE3488" w:rsidRDefault="00000000">
      <w:pPr>
        <w:pStyle w:val="Heading2"/>
        <w:spacing w:before="240" w:after="120"/>
      </w:pPr>
      <w:r>
        <w:t>2.2. Spectral Cross-Attention Adapter</w:t>
      </w:r>
    </w:p>
    <w:p w14:paraId="338A7A10" w14:textId="77777777" w:rsidR="00FE3488" w:rsidRDefault="00000000">
      <w:r>
        <w:t>Standard vision models fail when fed raw HSI data due to input channel mismatch. The Spectral Cross-Attention Adapter solves this without inflating parameter counts:</w:t>
      </w:r>
    </w:p>
    <w:p w14:paraId="62799386" w14:textId="77777777" w:rsidR="00FE3488" w:rsidRDefault="00000000">
      <w:pPr>
        <w:pStyle w:val="ListBullet"/>
      </w:pPr>
      <w:r>
        <w:t>• Linear Spectral Projection: Projects raw spectral channels into a D-dimensional embedding space (d_model = 256).</w:t>
      </w:r>
    </w:p>
    <w:p w14:paraId="6D1D621B" w14:textId="77777777" w:rsidR="00FE3488" w:rsidRDefault="00000000">
      <w:pPr>
        <w:pStyle w:val="ListBullet"/>
      </w:pPr>
      <w:r>
        <w:t>• Learnable Query Bank: A set of M = 8 learnable query tokens Q in R^(M x D) that attend to all available spectral bands via Multi-Head Attention (8 heads).</w:t>
      </w:r>
    </w:p>
    <w:p w14:paraId="1B498B44" w14:textId="77777777" w:rsidR="00FE3488" w:rsidRDefault="00000000">
      <w:pPr>
        <w:pStyle w:val="ListBullet"/>
      </w:pPr>
      <w:r>
        <w:lastRenderedPageBreak/>
        <w:t>• Feed-Forward Network (FFN): A 2-layer MLP with GELU activations and hidden dimension 512, followed by residual connections and LayerNorm.</w:t>
      </w:r>
    </w:p>
    <w:p w14:paraId="6F706114" w14:textId="77777777" w:rsidR="00FE3488" w:rsidRDefault="00000000">
      <w:pPr>
        <w:pStyle w:val="Heading2"/>
        <w:spacing w:before="240" w:after="120"/>
      </w:pPr>
      <w:r>
        <w:t>2.3. Parameter-Efficient Fine-Tuning with LoRA</w:t>
      </w:r>
    </w:p>
    <w:p w14:paraId="45493101" w14:textId="77777777" w:rsidR="00FE3488" w:rsidRDefault="00000000">
      <w:r>
        <w:t>To adapt SAM 2's attention blocks to hyperspectral patterns without catastrophic forgetting, Low-Rank Adaptation (LoRA) is injected into the query (q_proj) and value (v_proj) projection layers:</w:t>
      </w:r>
    </w:p>
    <w:p w14:paraId="23E9CD34" w14:textId="77777777" w:rsidR="00FE3488" w:rsidRDefault="00000000">
      <w:pPr>
        <w:jc w:val="center"/>
      </w:pPr>
      <w:r>
        <w:rPr>
          <w:i/>
        </w:rPr>
        <w:t>W_adapted = W_frozen + (alpha / r) * (B @ A)</w:t>
      </w:r>
      <w:r>
        <w:rPr>
          <w:i/>
        </w:rPr>
        <w:br/>
        <w:t>Where W in R^(d x k), B in R^(d x r), A in R^(r x k), rank r = 8, alpha = 16.0</w:t>
      </w:r>
    </w:p>
    <w:p w14:paraId="5B721590" w14:textId="77777777" w:rsidR="00FE3488" w:rsidRDefault="00000000">
      <w:r>
        <w:t>This keeps 69.1 million backbone parameters completely frozen, training only 790,667 parameters (1.13% trainable budget).</w:t>
      </w:r>
    </w:p>
    <w:p w14:paraId="42B20EB4" w14:textId="77777777" w:rsidR="00FE3488" w:rsidRDefault="00000000">
      <w:pPr>
        <w:pStyle w:val="Heading2"/>
        <w:spacing w:before="240" w:after="120"/>
      </w:pPr>
      <w:r>
        <w:t>2.4. Dynamic 64-Pixel Alignment Engine</w:t>
      </w:r>
    </w:p>
    <w:p w14:paraId="43EADD9E" w14:textId="77777777" w:rsidR="00FE3488" w:rsidRDefault="00000000">
      <w:r>
        <w:t>Meta's SAM 2 Hiera backbone utilizes windowed positional embeddings requiring spatial dimensions to be strictly divisible by 64 (patch_stride=4 x window_size=8 x hierarchy=2). When processing arbitrarily sized hyperspectral flightlines (e.g., Pavia University at 610 x 340), direct evaluation causes matrix dimension crashes. Our architecture includes a dynamic interpolation engine that resizes inputs to the nearest 64-aligned grid before backbone processing, and bilinearly interpolates output features back to original coordinates, enabling seamless inference over arbitrary image sizes.</w:t>
      </w:r>
    </w:p>
    <w:p w14:paraId="1ADA14B9" w14:textId="77777777" w:rsidR="00200A1F" w:rsidRDefault="00200A1F"/>
    <w:p w14:paraId="7CECE372" w14:textId="77777777" w:rsidR="00200A1F" w:rsidRDefault="00200A1F"/>
    <w:p w14:paraId="440D0C67" w14:textId="6BB8929A" w:rsidR="00200A1F" w:rsidRDefault="00200A1F">
      <w:r>
        <w:t>(more below…)</w:t>
      </w:r>
    </w:p>
    <w:p w14:paraId="2444C227" w14:textId="77777777" w:rsidR="00FE3488" w:rsidRDefault="00000000">
      <w:pPr>
        <w:pStyle w:val="Heading1"/>
        <w:spacing w:before="240" w:after="120"/>
      </w:pPr>
      <w:r>
        <w:lastRenderedPageBreak/>
        <w:t>3. Detailed Dataset Specifications</w:t>
      </w:r>
    </w:p>
    <w:p w14:paraId="1B7ADC63" w14:textId="29DE9C47" w:rsidR="00200A1F" w:rsidRPr="00200A1F" w:rsidRDefault="00200A1F" w:rsidP="00200A1F">
      <w:r>
        <w:rPr>
          <w:noProof/>
        </w:rPr>
        <w:drawing>
          <wp:inline distT="0" distB="0" distL="0" distR="0" wp14:anchorId="1C831751" wp14:editId="389CA8AA">
            <wp:extent cx="5052291" cy="7578436"/>
            <wp:effectExtent l="0" t="0" r="0" b="3810"/>
            <wp:docPr id="20285988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56067" cy="7584100"/>
                    </a:xfrm>
                    <a:prstGeom prst="rect">
                      <a:avLst/>
                    </a:prstGeom>
                    <a:noFill/>
                    <a:ln>
                      <a:noFill/>
                    </a:ln>
                  </pic:spPr>
                </pic:pic>
              </a:graphicData>
            </a:graphic>
          </wp:inline>
        </w:drawing>
      </w:r>
    </w:p>
    <w:p w14:paraId="7CD91E24" w14:textId="77777777" w:rsidR="00FE3488" w:rsidRDefault="00000000">
      <w:r>
        <w:lastRenderedPageBreak/>
        <w:t>The system is evaluated on two widely recognized standard remote sensing hyperspectral benchmark datasets, representing urban land cover and agricultural crop/vegetation management:</w:t>
      </w:r>
    </w:p>
    <w:p w14:paraId="30665253" w14:textId="77777777" w:rsidR="00FE3488" w:rsidRDefault="00000000">
      <w:pPr>
        <w:pStyle w:val="Heading2"/>
        <w:spacing w:before="240" w:after="120"/>
      </w:pPr>
      <w:r>
        <w:t>3.1. Pavia University Dataset (Primary Benchmark)</w:t>
      </w:r>
    </w:p>
    <w:p w14:paraId="60710EBF" w14:textId="77777777" w:rsidR="00FE3488" w:rsidRDefault="00000000">
      <w:pPr>
        <w:pStyle w:val="ListBullet"/>
      </w:pPr>
      <w:r>
        <w:t>• Sensor &amp; Platform: Reflective Optics System Imaging Spectrometer (ROSIS-03) optical airborne sensor flown over the University of Pavia, Italy.</w:t>
      </w:r>
    </w:p>
    <w:p w14:paraId="6C4F91FF" w14:textId="77777777" w:rsidR="00FE3488" w:rsidRDefault="00000000">
      <w:pPr>
        <w:pStyle w:val="ListBullet"/>
      </w:pPr>
      <w:r>
        <w:t>• Spatial Dimensions: 610 x 340 pixels with a ground sampling distance (GSD) of 1.3 meters per pixel.</w:t>
      </w:r>
    </w:p>
    <w:p w14:paraId="43A0D0F5" w14:textId="77777777" w:rsidR="00FE3488" w:rsidRDefault="00000000">
      <w:pPr>
        <w:pStyle w:val="ListBullet"/>
      </w:pPr>
      <w:r>
        <w:t>• Spectral Characteristics: 103 continuous spectral bands covering visible to near-infrared wavelengths (430 nm to 860 nm) after removing 12 noisy atmospheric water absorption bands.</w:t>
      </w:r>
    </w:p>
    <w:p w14:paraId="0B7D2172" w14:textId="77777777" w:rsidR="00FE3488" w:rsidRDefault="00000000">
      <w:pPr>
        <w:pStyle w:val="ListBullet"/>
      </w:pPr>
      <w:r>
        <w:t>• Ground Truth Coverage: 42,776 labeled foreground pixels across 9 classes, with the remaining 164,624 pixels representing background/unclassified areas.</w:t>
      </w:r>
    </w:p>
    <w:tbl>
      <w:tblPr>
        <w:tblW w:w="0" w:type="auto"/>
        <w:jc w:val="center"/>
        <w:tblLook w:val="04A0" w:firstRow="1" w:lastRow="0" w:firstColumn="1" w:lastColumn="0" w:noHBand="0" w:noVBand="1"/>
      </w:tblPr>
      <w:tblGrid>
        <w:gridCol w:w="1152"/>
        <w:gridCol w:w="2592"/>
        <w:gridCol w:w="1440"/>
        <w:gridCol w:w="4176"/>
      </w:tblGrid>
      <w:tr w:rsidR="00FE3488" w14:paraId="52541439" w14:textId="77777777">
        <w:trPr>
          <w:jc w:val="center"/>
        </w:trPr>
        <w:tc>
          <w:tcPr>
            <w:tcW w:w="1152" w:type="dxa"/>
            <w:shd w:val="clear" w:color="auto" w:fill="1F4E79"/>
            <w:tcMar>
              <w:top w:w="120" w:type="dxa"/>
              <w:left w:w="150" w:type="dxa"/>
              <w:bottom w:w="120" w:type="dxa"/>
              <w:right w:w="150" w:type="dxa"/>
            </w:tcMar>
          </w:tcPr>
          <w:p w14:paraId="5A78CF1B" w14:textId="77777777" w:rsidR="00FE3488" w:rsidRDefault="00000000">
            <w:pPr>
              <w:jc w:val="center"/>
            </w:pPr>
            <w:r>
              <w:rPr>
                <w:rFonts w:ascii="Calibri" w:hAnsi="Calibri"/>
                <w:b/>
                <w:color w:val="FFFFFF"/>
                <w:sz w:val="20"/>
              </w:rPr>
              <w:t>Class ID</w:t>
            </w:r>
          </w:p>
        </w:tc>
        <w:tc>
          <w:tcPr>
            <w:tcW w:w="2592" w:type="dxa"/>
            <w:shd w:val="clear" w:color="auto" w:fill="1F4E79"/>
            <w:tcMar>
              <w:top w:w="120" w:type="dxa"/>
              <w:left w:w="150" w:type="dxa"/>
              <w:bottom w:w="120" w:type="dxa"/>
              <w:right w:w="150" w:type="dxa"/>
            </w:tcMar>
          </w:tcPr>
          <w:p w14:paraId="67AE1D97" w14:textId="77777777" w:rsidR="00FE3488" w:rsidRDefault="00000000">
            <w:pPr>
              <w:jc w:val="center"/>
            </w:pPr>
            <w:r>
              <w:rPr>
                <w:rFonts w:ascii="Calibri" w:hAnsi="Calibri"/>
                <w:b/>
                <w:color w:val="FFFFFF"/>
                <w:sz w:val="20"/>
              </w:rPr>
              <w:t>Land Cover / Plant Class</w:t>
            </w:r>
          </w:p>
        </w:tc>
        <w:tc>
          <w:tcPr>
            <w:tcW w:w="1440" w:type="dxa"/>
            <w:shd w:val="clear" w:color="auto" w:fill="1F4E79"/>
            <w:tcMar>
              <w:top w:w="120" w:type="dxa"/>
              <w:left w:w="150" w:type="dxa"/>
              <w:bottom w:w="120" w:type="dxa"/>
              <w:right w:w="150" w:type="dxa"/>
            </w:tcMar>
          </w:tcPr>
          <w:p w14:paraId="1DB22172" w14:textId="77777777" w:rsidR="00FE3488" w:rsidRDefault="00000000">
            <w:pPr>
              <w:jc w:val="center"/>
            </w:pPr>
            <w:r>
              <w:rPr>
                <w:rFonts w:ascii="Calibri" w:hAnsi="Calibri"/>
                <w:b/>
                <w:color w:val="FFFFFF"/>
                <w:sz w:val="20"/>
              </w:rPr>
              <w:t>Pixel Count</w:t>
            </w:r>
          </w:p>
        </w:tc>
        <w:tc>
          <w:tcPr>
            <w:tcW w:w="4176" w:type="dxa"/>
            <w:shd w:val="clear" w:color="auto" w:fill="1F4E79"/>
            <w:tcMar>
              <w:top w:w="120" w:type="dxa"/>
              <w:left w:w="150" w:type="dxa"/>
              <w:bottom w:w="120" w:type="dxa"/>
              <w:right w:w="150" w:type="dxa"/>
            </w:tcMar>
          </w:tcPr>
          <w:p w14:paraId="55B9C1FE" w14:textId="77777777" w:rsidR="00FE3488" w:rsidRDefault="00000000">
            <w:pPr>
              <w:jc w:val="center"/>
            </w:pPr>
            <w:r>
              <w:rPr>
                <w:rFonts w:ascii="Calibri" w:hAnsi="Calibri"/>
                <w:b/>
                <w:color w:val="FFFFFF"/>
                <w:sz w:val="20"/>
              </w:rPr>
              <w:t>Ecological / Spectral Significance</w:t>
            </w:r>
          </w:p>
        </w:tc>
      </w:tr>
      <w:tr w:rsidR="00FE3488" w14:paraId="7AFD937A" w14:textId="77777777">
        <w:trPr>
          <w:jc w:val="center"/>
        </w:trPr>
        <w:tc>
          <w:tcPr>
            <w:tcW w:w="1152" w:type="dxa"/>
            <w:shd w:val="clear" w:color="auto" w:fill="FFFFFF"/>
            <w:tcMar>
              <w:top w:w="100" w:type="dxa"/>
              <w:left w:w="150" w:type="dxa"/>
              <w:bottom w:w="100" w:type="dxa"/>
              <w:right w:w="150" w:type="dxa"/>
            </w:tcMar>
          </w:tcPr>
          <w:p w14:paraId="7E98BE92" w14:textId="77777777" w:rsidR="00FE3488" w:rsidRDefault="00000000">
            <w:r>
              <w:rPr>
                <w:rFonts w:ascii="Calibri" w:hAnsi="Calibri"/>
                <w:sz w:val="19"/>
              </w:rPr>
              <w:t>1</w:t>
            </w:r>
          </w:p>
        </w:tc>
        <w:tc>
          <w:tcPr>
            <w:tcW w:w="2592" w:type="dxa"/>
            <w:shd w:val="clear" w:color="auto" w:fill="FFFFFF"/>
            <w:tcMar>
              <w:top w:w="100" w:type="dxa"/>
              <w:left w:w="150" w:type="dxa"/>
              <w:bottom w:w="100" w:type="dxa"/>
              <w:right w:w="150" w:type="dxa"/>
            </w:tcMar>
          </w:tcPr>
          <w:p w14:paraId="44D3EE82" w14:textId="77777777" w:rsidR="00FE3488" w:rsidRDefault="00000000">
            <w:r>
              <w:rPr>
                <w:rFonts w:ascii="Calibri" w:hAnsi="Calibri"/>
                <w:sz w:val="19"/>
              </w:rPr>
              <w:t>Asphalt</w:t>
            </w:r>
          </w:p>
        </w:tc>
        <w:tc>
          <w:tcPr>
            <w:tcW w:w="1440" w:type="dxa"/>
            <w:shd w:val="clear" w:color="auto" w:fill="FFFFFF"/>
            <w:tcMar>
              <w:top w:w="100" w:type="dxa"/>
              <w:left w:w="150" w:type="dxa"/>
              <w:bottom w:w="100" w:type="dxa"/>
              <w:right w:w="150" w:type="dxa"/>
            </w:tcMar>
          </w:tcPr>
          <w:p w14:paraId="1171DAA7" w14:textId="77777777" w:rsidR="00FE3488" w:rsidRDefault="00000000">
            <w:r>
              <w:rPr>
                <w:rFonts w:ascii="Calibri" w:hAnsi="Calibri"/>
                <w:sz w:val="19"/>
              </w:rPr>
              <w:t>6,631</w:t>
            </w:r>
          </w:p>
        </w:tc>
        <w:tc>
          <w:tcPr>
            <w:tcW w:w="4176" w:type="dxa"/>
            <w:shd w:val="clear" w:color="auto" w:fill="FFFFFF"/>
            <w:tcMar>
              <w:top w:w="100" w:type="dxa"/>
              <w:left w:w="150" w:type="dxa"/>
              <w:bottom w:w="100" w:type="dxa"/>
              <w:right w:w="150" w:type="dxa"/>
            </w:tcMar>
          </w:tcPr>
          <w:p w14:paraId="57DE01F2" w14:textId="77777777" w:rsidR="00FE3488" w:rsidRDefault="00000000">
            <w:r>
              <w:rPr>
                <w:rFonts w:ascii="Calibri" w:hAnsi="Calibri"/>
                <w:sz w:val="19"/>
              </w:rPr>
              <w:t>Impervious urban surface, low NIR reflectance</w:t>
            </w:r>
          </w:p>
        </w:tc>
      </w:tr>
      <w:tr w:rsidR="00FE3488" w14:paraId="1272FEB3" w14:textId="77777777">
        <w:trPr>
          <w:jc w:val="center"/>
        </w:trPr>
        <w:tc>
          <w:tcPr>
            <w:tcW w:w="1152" w:type="dxa"/>
            <w:shd w:val="clear" w:color="auto" w:fill="F2F4F7"/>
            <w:tcMar>
              <w:top w:w="100" w:type="dxa"/>
              <w:left w:w="150" w:type="dxa"/>
              <w:bottom w:w="100" w:type="dxa"/>
              <w:right w:w="150" w:type="dxa"/>
            </w:tcMar>
          </w:tcPr>
          <w:p w14:paraId="6D0FA51B" w14:textId="77777777" w:rsidR="00FE3488" w:rsidRDefault="00000000">
            <w:r>
              <w:rPr>
                <w:rFonts w:ascii="Calibri" w:hAnsi="Calibri"/>
                <w:sz w:val="19"/>
              </w:rPr>
              <w:t>2</w:t>
            </w:r>
          </w:p>
        </w:tc>
        <w:tc>
          <w:tcPr>
            <w:tcW w:w="2592" w:type="dxa"/>
            <w:shd w:val="clear" w:color="auto" w:fill="F2F4F7"/>
            <w:tcMar>
              <w:top w:w="100" w:type="dxa"/>
              <w:left w:w="150" w:type="dxa"/>
              <w:bottom w:w="100" w:type="dxa"/>
              <w:right w:w="150" w:type="dxa"/>
            </w:tcMar>
          </w:tcPr>
          <w:p w14:paraId="0C3DEB55" w14:textId="77777777" w:rsidR="00FE3488" w:rsidRDefault="00000000">
            <w:r>
              <w:rPr>
                <w:rFonts w:ascii="Calibri" w:hAnsi="Calibri"/>
                <w:sz w:val="19"/>
              </w:rPr>
              <w:t>Meadows</w:t>
            </w:r>
          </w:p>
        </w:tc>
        <w:tc>
          <w:tcPr>
            <w:tcW w:w="1440" w:type="dxa"/>
            <w:shd w:val="clear" w:color="auto" w:fill="F2F4F7"/>
            <w:tcMar>
              <w:top w:w="100" w:type="dxa"/>
              <w:left w:w="150" w:type="dxa"/>
              <w:bottom w:w="100" w:type="dxa"/>
              <w:right w:w="150" w:type="dxa"/>
            </w:tcMar>
          </w:tcPr>
          <w:p w14:paraId="3E79CC5C" w14:textId="77777777" w:rsidR="00FE3488" w:rsidRDefault="00000000">
            <w:r>
              <w:rPr>
                <w:rFonts w:ascii="Calibri" w:hAnsi="Calibri"/>
                <w:sz w:val="19"/>
              </w:rPr>
              <w:t>18,649</w:t>
            </w:r>
          </w:p>
        </w:tc>
        <w:tc>
          <w:tcPr>
            <w:tcW w:w="4176" w:type="dxa"/>
            <w:shd w:val="clear" w:color="auto" w:fill="F2F4F7"/>
            <w:tcMar>
              <w:top w:w="100" w:type="dxa"/>
              <w:left w:w="150" w:type="dxa"/>
              <w:bottom w:w="100" w:type="dxa"/>
              <w:right w:w="150" w:type="dxa"/>
            </w:tcMar>
          </w:tcPr>
          <w:p w14:paraId="61A1ACE7" w14:textId="77777777" w:rsidR="00FE3488" w:rsidRDefault="00000000">
            <w:r>
              <w:rPr>
                <w:rFonts w:ascii="Calibri" w:hAnsi="Calibri"/>
                <w:sz w:val="19"/>
              </w:rPr>
              <w:t>Dense herbaceous grass, strong chlorophyll NIR peak</w:t>
            </w:r>
          </w:p>
        </w:tc>
      </w:tr>
      <w:tr w:rsidR="00FE3488" w14:paraId="16F83FF3" w14:textId="77777777">
        <w:trPr>
          <w:jc w:val="center"/>
        </w:trPr>
        <w:tc>
          <w:tcPr>
            <w:tcW w:w="1152" w:type="dxa"/>
            <w:shd w:val="clear" w:color="auto" w:fill="FFFFFF"/>
            <w:tcMar>
              <w:top w:w="100" w:type="dxa"/>
              <w:left w:w="150" w:type="dxa"/>
              <w:bottom w:w="100" w:type="dxa"/>
              <w:right w:w="150" w:type="dxa"/>
            </w:tcMar>
          </w:tcPr>
          <w:p w14:paraId="60A1D844" w14:textId="77777777" w:rsidR="00FE3488" w:rsidRDefault="00000000">
            <w:r>
              <w:rPr>
                <w:rFonts w:ascii="Calibri" w:hAnsi="Calibri"/>
                <w:sz w:val="19"/>
              </w:rPr>
              <w:t>3</w:t>
            </w:r>
          </w:p>
        </w:tc>
        <w:tc>
          <w:tcPr>
            <w:tcW w:w="2592" w:type="dxa"/>
            <w:shd w:val="clear" w:color="auto" w:fill="FFFFFF"/>
            <w:tcMar>
              <w:top w:w="100" w:type="dxa"/>
              <w:left w:w="150" w:type="dxa"/>
              <w:bottom w:w="100" w:type="dxa"/>
              <w:right w:w="150" w:type="dxa"/>
            </w:tcMar>
          </w:tcPr>
          <w:p w14:paraId="3BF28E3B" w14:textId="77777777" w:rsidR="00FE3488" w:rsidRDefault="00000000">
            <w:r>
              <w:rPr>
                <w:rFonts w:ascii="Calibri" w:hAnsi="Calibri"/>
                <w:sz w:val="19"/>
              </w:rPr>
              <w:t>Gravel</w:t>
            </w:r>
          </w:p>
        </w:tc>
        <w:tc>
          <w:tcPr>
            <w:tcW w:w="1440" w:type="dxa"/>
            <w:shd w:val="clear" w:color="auto" w:fill="FFFFFF"/>
            <w:tcMar>
              <w:top w:w="100" w:type="dxa"/>
              <w:left w:w="150" w:type="dxa"/>
              <w:bottom w:w="100" w:type="dxa"/>
              <w:right w:w="150" w:type="dxa"/>
            </w:tcMar>
          </w:tcPr>
          <w:p w14:paraId="63474BFE" w14:textId="77777777" w:rsidR="00FE3488" w:rsidRDefault="00000000">
            <w:r>
              <w:rPr>
                <w:rFonts w:ascii="Calibri" w:hAnsi="Calibri"/>
                <w:sz w:val="19"/>
              </w:rPr>
              <w:t>2,099</w:t>
            </w:r>
          </w:p>
        </w:tc>
        <w:tc>
          <w:tcPr>
            <w:tcW w:w="4176" w:type="dxa"/>
            <w:shd w:val="clear" w:color="auto" w:fill="FFFFFF"/>
            <w:tcMar>
              <w:top w:w="100" w:type="dxa"/>
              <w:left w:w="150" w:type="dxa"/>
              <w:bottom w:w="100" w:type="dxa"/>
              <w:right w:w="150" w:type="dxa"/>
            </w:tcMar>
          </w:tcPr>
          <w:p w14:paraId="413B31F4" w14:textId="77777777" w:rsidR="00FE3488" w:rsidRDefault="00000000">
            <w:r>
              <w:rPr>
                <w:rFonts w:ascii="Calibri" w:hAnsi="Calibri"/>
                <w:sz w:val="19"/>
              </w:rPr>
              <w:t>High-albedo mineral substrate, spectral confusion with asphalt</w:t>
            </w:r>
          </w:p>
        </w:tc>
      </w:tr>
      <w:tr w:rsidR="00FE3488" w14:paraId="4FA32E4E" w14:textId="77777777">
        <w:trPr>
          <w:jc w:val="center"/>
        </w:trPr>
        <w:tc>
          <w:tcPr>
            <w:tcW w:w="1152" w:type="dxa"/>
            <w:shd w:val="clear" w:color="auto" w:fill="F2F4F7"/>
            <w:tcMar>
              <w:top w:w="100" w:type="dxa"/>
              <w:left w:w="150" w:type="dxa"/>
              <w:bottom w:w="100" w:type="dxa"/>
              <w:right w:w="150" w:type="dxa"/>
            </w:tcMar>
          </w:tcPr>
          <w:p w14:paraId="4CBA0CBE" w14:textId="77777777" w:rsidR="00FE3488" w:rsidRDefault="00000000">
            <w:r>
              <w:rPr>
                <w:rFonts w:ascii="Calibri" w:hAnsi="Calibri"/>
                <w:sz w:val="19"/>
              </w:rPr>
              <w:t>4</w:t>
            </w:r>
          </w:p>
        </w:tc>
        <w:tc>
          <w:tcPr>
            <w:tcW w:w="2592" w:type="dxa"/>
            <w:shd w:val="clear" w:color="auto" w:fill="F2F4F7"/>
            <w:tcMar>
              <w:top w:w="100" w:type="dxa"/>
              <w:left w:w="150" w:type="dxa"/>
              <w:bottom w:w="100" w:type="dxa"/>
              <w:right w:w="150" w:type="dxa"/>
            </w:tcMar>
          </w:tcPr>
          <w:p w14:paraId="1887A919" w14:textId="77777777" w:rsidR="00FE3488" w:rsidRDefault="00000000">
            <w:r>
              <w:rPr>
                <w:rFonts w:ascii="Calibri" w:hAnsi="Calibri"/>
                <w:sz w:val="19"/>
              </w:rPr>
              <w:t>Trees</w:t>
            </w:r>
          </w:p>
        </w:tc>
        <w:tc>
          <w:tcPr>
            <w:tcW w:w="1440" w:type="dxa"/>
            <w:shd w:val="clear" w:color="auto" w:fill="F2F4F7"/>
            <w:tcMar>
              <w:top w:w="100" w:type="dxa"/>
              <w:left w:w="150" w:type="dxa"/>
              <w:bottom w:w="100" w:type="dxa"/>
              <w:right w:w="150" w:type="dxa"/>
            </w:tcMar>
          </w:tcPr>
          <w:p w14:paraId="276ECFEB" w14:textId="77777777" w:rsidR="00FE3488" w:rsidRDefault="00000000">
            <w:r>
              <w:rPr>
                <w:rFonts w:ascii="Calibri" w:hAnsi="Calibri"/>
                <w:sz w:val="19"/>
              </w:rPr>
              <w:t>3,064</w:t>
            </w:r>
          </w:p>
        </w:tc>
        <w:tc>
          <w:tcPr>
            <w:tcW w:w="4176" w:type="dxa"/>
            <w:shd w:val="clear" w:color="auto" w:fill="F2F4F7"/>
            <w:tcMar>
              <w:top w:w="100" w:type="dxa"/>
              <w:left w:w="150" w:type="dxa"/>
              <w:bottom w:w="100" w:type="dxa"/>
              <w:right w:w="150" w:type="dxa"/>
            </w:tcMar>
          </w:tcPr>
          <w:p w14:paraId="612B27D0" w14:textId="77777777" w:rsidR="00FE3488" w:rsidRDefault="00000000">
            <w:r>
              <w:rPr>
                <w:rFonts w:ascii="Calibri" w:hAnsi="Calibri"/>
                <w:sz w:val="19"/>
              </w:rPr>
              <w:t>Woody perennial canopy, distinct red-edge absorption</w:t>
            </w:r>
          </w:p>
        </w:tc>
      </w:tr>
      <w:tr w:rsidR="00FE3488" w14:paraId="10CE16FC" w14:textId="77777777">
        <w:trPr>
          <w:jc w:val="center"/>
        </w:trPr>
        <w:tc>
          <w:tcPr>
            <w:tcW w:w="1152" w:type="dxa"/>
            <w:shd w:val="clear" w:color="auto" w:fill="FFFFFF"/>
            <w:tcMar>
              <w:top w:w="100" w:type="dxa"/>
              <w:left w:w="150" w:type="dxa"/>
              <w:bottom w:w="100" w:type="dxa"/>
              <w:right w:w="150" w:type="dxa"/>
            </w:tcMar>
          </w:tcPr>
          <w:p w14:paraId="423434B6" w14:textId="77777777" w:rsidR="00FE3488" w:rsidRDefault="00000000">
            <w:r>
              <w:rPr>
                <w:rFonts w:ascii="Calibri" w:hAnsi="Calibri"/>
                <w:sz w:val="19"/>
              </w:rPr>
              <w:t>5</w:t>
            </w:r>
          </w:p>
        </w:tc>
        <w:tc>
          <w:tcPr>
            <w:tcW w:w="2592" w:type="dxa"/>
            <w:shd w:val="clear" w:color="auto" w:fill="FFFFFF"/>
            <w:tcMar>
              <w:top w:w="100" w:type="dxa"/>
              <w:left w:w="150" w:type="dxa"/>
              <w:bottom w:w="100" w:type="dxa"/>
              <w:right w:w="150" w:type="dxa"/>
            </w:tcMar>
          </w:tcPr>
          <w:p w14:paraId="67D703CE" w14:textId="77777777" w:rsidR="00FE3488" w:rsidRDefault="00000000">
            <w:r>
              <w:rPr>
                <w:rFonts w:ascii="Calibri" w:hAnsi="Calibri"/>
                <w:sz w:val="19"/>
              </w:rPr>
              <w:t>Painted Metal Sheets</w:t>
            </w:r>
          </w:p>
        </w:tc>
        <w:tc>
          <w:tcPr>
            <w:tcW w:w="1440" w:type="dxa"/>
            <w:shd w:val="clear" w:color="auto" w:fill="FFFFFF"/>
            <w:tcMar>
              <w:top w:w="100" w:type="dxa"/>
              <w:left w:w="150" w:type="dxa"/>
              <w:bottom w:w="100" w:type="dxa"/>
              <w:right w:w="150" w:type="dxa"/>
            </w:tcMar>
          </w:tcPr>
          <w:p w14:paraId="3EB9DFEF" w14:textId="77777777" w:rsidR="00FE3488" w:rsidRDefault="00000000">
            <w:r>
              <w:rPr>
                <w:rFonts w:ascii="Calibri" w:hAnsi="Calibri"/>
                <w:sz w:val="19"/>
              </w:rPr>
              <w:t>1,345</w:t>
            </w:r>
          </w:p>
        </w:tc>
        <w:tc>
          <w:tcPr>
            <w:tcW w:w="4176" w:type="dxa"/>
            <w:shd w:val="clear" w:color="auto" w:fill="FFFFFF"/>
            <w:tcMar>
              <w:top w:w="100" w:type="dxa"/>
              <w:left w:w="150" w:type="dxa"/>
              <w:bottom w:w="100" w:type="dxa"/>
              <w:right w:w="150" w:type="dxa"/>
            </w:tcMar>
          </w:tcPr>
          <w:p w14:paraId="7BD0B574" w14:textId="77777777" w:rsidR="00FE3488" w:rsidRDefault="00000000">
            <w:r>
              <w:rPr>
                <w:rFonts w:ascii="Calibri" w:hAnsi="Calibri"/>
                <w:sz w:val="19"/>
              </w:rPr>
              <w:t>Sharp artificial reflectance signatures</w:t>
            </w:r>
          </w:p>
        </w:tc>
      </w:tr>
      <w:tr w:rsidR="00FE3488" w14:paraId="0F4FDCA7" w14:textId="77777777">
        <w:trPr>
          <w:jc w:val="center"/>
        </w:trPr>
        <w:tc>
          <w:tcPr>
            <w:tcW w:w="1152" w:type="dxa"/>
            <w:shd w:val="clear" w:color="auto" w:fill="F2F4F7"/>
            <w:tcMar>
              <w:top w:w="100" w:type="dxa"/>
              <w:left w:w="150" w:type="dxa"/>
              <w:bottom w:w="100" w:type="dxa"/>
              <w:right w:w="150" w:type="dxa"/>
            </w:tcMar>
          </w:tcPr>
          <w:p w14:paraId="4D546E21" w14:textId="77777777" w:rsidR="00FE3488" w:rsidRDefault="00000000">
            <w:r>
              <w:rPr>
                <w:rFonts w:ascii="Calibri" w:hAnsi="Calibri"/>
                <w:sz w:val="19"/>
              </w:rPr>
              <w:t>6</w:t>
            </w:r>
          </w:p>
        </w:tc>
        <w:tc>
          <w:tcPr>
            <w:tcW w:w="2592" w:type="dxa"/>
            <w:shd w:val="clear" w:color="auto" w:fill="F2F4F7"/>
            <w:tcMar>
              <w:top w:w="100" w:type="dxa"/>
              <w:left w:w="150" w:type="dxa"/>
              <w:bottom w:w="100" w:type="dxa"/>
              <w:right w:w="150" w:type="dxa"/>
            </w:tcMar>
          </w:tcPr>
          <w:p w14:paraId="3B11C4C0" w14:textId="77777777" w:rsidR="00FE3488" w:rsidRDefault="00000000">
            <w:r>
              <w:rPr>
                <w:rFonts w:ascii="Calibri" w:hAnsi="Calibri"/>
                <w:sz w:val="19"/>
              </w:rPr>
              <w:t>Bare Soil</w:t>
            </w:r>
          </w:p>
        </w:tc>
        <w:tc>
          <w:tcPr>
            <w:tcW w:w="1440" w:type="dxa"/>
            <w:shd w:val="clear" w:color="auto" w:fill="F2F4F7"/>
            <w:tcMar>
              <w:top w:w="100" w:type="dxa"/>
              <w:left w:w="150" w:type="dxa"/>
              <w:bottom w:w="100" w:type="dxa"/>
              <w:right w:w="150" w:type="dxa"/>
            </w:tcMar>
          </w:tcPr>
          <w:p w14:paraId="33B5CEA5" w14:textId="77777777" w:rsidR="00FE3488" w:rsidRDefault="00000000">
            <w:r>
              <w:rPr>
                <w:rFonts w:ascii="Calibri" w:hAnsi="Calibri"/>
                <w:sz w:val="19"/>
              </w:rPr>
              <w:t>5,029</w:t>
            </w:r>
          </w:p>
        </w:tc>
        <w:tc>
          <w:tcPr>
            <w:tcW w:w="4176" w:type="dxa"/>
            <w:shd w:val="clear" w:color="auto" w:fill="F2F4F7"/>
            <w:tcMar>
              <w:top w:w="100" w:type="dxa"/>
              <w:left w:w="150" w:type="dxa"/>
              <w:bottom w:w="100" w:type="dxa"/>
              <w:right w:w="150" w:type="dxa"/>
            </w:tcMar>
          </w:tcPr>
          <w:p w14:paraId="60C56210" w14:textId="77777777" w:rsidR="00FE3488" w:rsidRDefault="00000000">
            <w:r>
              <w:rPr>
                <w:rFonts w:ascii="Calibri" w:hAnsi="Calibri"/>
                <w:sz w:val="19"/>
              </w:rPr>
              <w:t>Dry exposed substrate with linear spectral slope</w:t>
            </w:r>
          </w:p>
        </w:tc>
      </w:tr>
      <w:tr w:rsidR="00FE3488" w14:paraId="549B8CDE" w14:textId="77777777">
        <w:trPr>
          <w:jc w:val="center"/>
        </w:trPr>
        <w:tc>
          <w:tcPr>
            <w:tcW w:w="1152" w:type="dxa"/>
            <w:shd w:val="clear" w:color="auto" w:fill="FFFFFF"/>
            <w:tcMar>
              <w:top w:w="100" w:type="dxa"/>
              <w:left w:w="150" w:type="dxa"/>
              <w:bottom w:w="100" w:type="dxa"/>
              <w:right w:w="150" w:type="dxa"/>
            </w:tcMar>
          </w:tcPr>
          <w:p w14:paraId="05D0A82C" w14:textId="77777777" w:rsidR="00FE3488" w:rsidRDefault="00000000">
            <w:r>
              <w:rPr>
                <w:rFonts w:ascii="Calibri" w:hAnsi="Calibri"/>
                <w:sz w:val="19"/>
              </w:rPr>
              <w:t>7</w:t>
            </w:r>
          </w:p>
        </w:tc>
        <w:tc>
          <w:tcPr>
            <w:tcW w:w="2592" w:type="dxa"/>
            <w:shd w:val="clear" w:color="auto" w:fill="FFFFFF"/>
            <w:tcMar>
              <w:top w:w="100" w:type="dxa"/>
              <w:left w:w="150" w:type="dxa"/>
              <w:bottom w:w="100" w:type="dxa"/>
              <w:right w:w="150" w:type="dxa"/>
            </w:tcMar>
          </w:tcPr>
          <w:p w14:paraId="30D0479F" w14:textId="77777777" w:rsidR="00FE3488" w:rsidRDefault="00000000">
            <w:r>
              <w:rPr>
                <w:rFonts w:ascii="Calibri" w:hAnsi="Calibri"/>
                <w:sz w:val="19"/>
              </w:rPr>
              <w:t>Bitumen</w:t>
            </w:r>
          </w:p>
        </w:tc>
        <w:tc>
          <w:tcPr>
            <w:tcW w:w="1440" w:type="dxa"/>
            <w:shd w:val="clear" w:color="auto" w:fill="FFFFFF"/>
            <w:tcMar>
              <w:top w:w="100" w:type="dxa"/>
              <w:left w:w="150" w:type="dxa"/>
              <w:bottom w:w="100" w:type="dxa"/>
              <w:right w:w="150" w:type="dxa"/>
            </w:tcMar>
          </w:tcPr>
          <w:p w14:paraId="41587BF9" w14:textId="77777777" w:rsidR="00FE3488" w:rsidRDefault="00000000">
            <w:r>
              <w:rPr>
                <w:rFonts w:ascii="Calibri" w:hAnsi="Calibri"/>
                <w:sz w:val="19"/>
              </w:rPr>
              <w:t>1,330</w:t>
            </w:r>
          </w:p>
        </w:tc>
        <w:tc>
          <w:tcPr>
            <w:tcW w:w="4176" w:type="dxa"/>
            <w:shd w:val="clear" w:color="auto" w:fill="FFFFFF"/>
            <w:tcMar>
              <w:top w:w="100" w:type="dxa"/>
              <w:left w:w="150" w:type="dxa"/>
              <w:bottom w:w="100" w:type="dxa"/>
              <w:right w:w="150" w:type="dxa"/>
            </w:tcMar>
          </w:tcPr>
          <w:p w14:paraId="7A98D7CB" w14:textId="77777777" w:rsidR="00FE3488" w:rsidRDefault="00000000">
            <w:r>
              <w:rPr>
                <w:rFonts w:ascii="Calibri" w:hAnsi="Calibri"/>
                <w:sz w:val="19"/>
              </w:rPr>
              <w:t>Hydrocarbon roofing and road material</w:t>
            </w:r>
          </w:p>
        </w:tc>
      </w:tr>
      <w:tr w:rsidR="00FE3488" w14:paraId="15F98040" w14:textId="77777777">
        <w:trPr>
          <w:jc w:val="center"/>
        </w:trPr>
        <w:tc>
          <w:tcPr>
            <w:tcW w:w="1152" w:type="dxa"/>
            <w:shd w:val="clear" w:color="auto" w:fill="F2F4F7"/>
            <w:tcMar>
              <w:top w:w="100" w:type="dxa"/>
              <w:left w:w="150" w:type="dxa"/>
              <w:bottom w:w="100" w:type="dxa"/>
              <w:right w:w="150" w:type="dxa"/>
            </w:tcMar>
          </w:tcPr>
          <w:p w14:paraId="6E77FFE1" w14:textId="77777777" w:rsidR="00FE3488" w:rsidRDefault="00000000">
            <w:r>
              <w:rPr>
                <w:rFonts w:ascii="Calibri" w:hAnsi="Calibri"/>
                <w:sz w:val="19"/>
              </w:rPr>
              <w:t>8</w:t>
            </w:r>
          </w:p>
        </w:tc>
        <w:tc>
          <w:tcPr>
            <w:tcW w:w="2592" w:type="dxa"/>
            <w:shd w:val="clear" w:color="auto" w:fill="F2F4F7"/>
            <w:tcMar>
              <w:top w:w="100" w:type="dxa"/>
              <w:left w:w="150" w:type="dxa"/>
              <w:bottom w:w="100" w:type="dxa"/>
              <w:right w:w="150" w:type="dxa"/>
            </w:tcMar>
          </w:tcPr>
          <w:p w14:paraId="0CA055C6" w14:textId="77777777" w:rsidR="00FE3488" w:rsidRDefault="00000000">
            <w:r>
              <w:rPr>
                <w:rFonts w:ascii="Calibri" w:hAnsi="Calibri"/>
                <w:sz w:val="19"/>
              </w:rPr>
              <w:t>Self-Blocking Bricks</w:t>
            </w:r>
          </w:p>
        </w:tc>
        <w:tc>
          <w:tcPr>
            <w:tcW w:w="1440" w:type="dxa"/>
            <w:shd w:val="clear" w:color="auto" w:fill="F2F4F7"/>
            <w:tcMar>
              <w:top w:w="100" w:type="dxa"/>
              <w:left w:w="150" w:type="dxa"/>
              <w:bottom w:w="100" w:type="dxa"/>
              <w:right w:w="150" w:type="dxa"/>
            </w:tcMar>
          </w:tcPr>
          <w:p w14:paraId="7E074A4B" w14:textId="77777777" w:rsidR="00FE3488" w:rsidRDefault="00000000">
            <w:r>
              <w:rPr>
                <w:rFonts w:ascii="Calibri" w:hAnsi="Calibri"/>
                <w:sz w:val="19"/>
              </w:rPr>
              <w:t>3,682</w:t>
            </w:r>
          </w:p>
        </w:tc>
        <w:tc>
          <w:tcPr>
            <w:tcW w:w="4176" w:type="dxa"/>
            <w:shd w:val="clear" w:color="auto" w:fill="F2F4F7"/>
            <w:tcMar>
              <w:top w:w="100" w:type="dxa"/>
              <w:left w:w="150" w:type="dxa"/>
              <w:bottom w:w="100" w:type="dxa"/>
              <w:right w:w="150" w:type="dxa"/>
            </w:tcMar>
          </w:tcPr>
          <w:p w14:paraId="78BA1661" w14:textId="77777777" w:rsidR="00FE3488" w:rsidRDefault="00000000">
            <w:r>
              <w:rPr>
                <w:rFonts w:ascii="Calibri" w:hAnsi="Calibri"/>
                <w:sz w:val="19"/>
              </w:rPr>
              <w:t>Clay/masonry surfaces with distinct iron-oxide features</w:t>
            </w:r>
          </w:p>
        </w:tc>
      </w:tr>
      <w:tr w:rsidR="00FE3488" w14:paraId="14EB14F9" w14:textId="77777777">
        <w:trPr>
          <w:jc w:val="center"/>
        </w:trPr>
        <w:tc>
          <w:tcPr>
            <w:tcW w:w="1152" w:type="dxa"/>
            <w:shd w:val="clear" w:color="auto" w:fill="FFFFFF"/>
            <w:tcMar>
              <w:top w:w="100" w:type="dxa"/>
              <w:left w:w="150" w:type="dxa"/>
              <w:bottom w:w="100" w:type="dxa"/>
              <w:right w:w="150" w:type="dxa"/>
            </w:tcMar>
          </w:tcPr>
          <w:p w14:paraId="1FB9D837" w14:textId="77777777" w:rsidR="00FE3488" w:rsidRDefault="00000000">
            <w:r>
              <w:rPr>
                <w:rFonts w:ascii="Calibri" w:hAnsi="Calibri"/>
                <w:sz w:val="19"/>
              </w:rPr>
              <w:t>9</w:t>
            </w:r>
          </w:p>
        </w:tc>
        <w:tc>
          <w:tcPr>
            <w:tcW w:w="2592" w:type="dxa"/>
            <w:shd w:val="clear" w:color="auto" w:fill="FFFFFF"/>
            <w:tcMar>
              <w:top w:w="100" w:type="dxa"/>
              <w:left w:w="150" w:type="dxa"/>
              <w:bottom w:w="100" w:type="dxa"/>
              <w:right w:w="150" w:type="dxa"/>
            </w:tcMar>
          </w:tcPr>
          <w:p w14:paraId="37A87BF7" w14:textId="77777777" w:rsidR="00FE3488" w:rsidRDefault="00000000">
            <w:r>
              <w:rPr>
                <w:rFonts w:ascii="Calibri" w:hAnsi="Calibri"/>
                <w:sz w:val="19"/>
              </w:rPr>
              <w:t>Shadows</w:t>
            </w:r>
          </w:p>
        </w:tc>
        <w:tc>
          <w:tcPr>
            <w:tcW w:w="1440" w:type="dxa"/>
            <w:shd w:val="clear" w:color="auto" w:fill="FFFFFF"/>
            <w:tcMar>
              <w:top w:w="100" w:type="dxa"/>
              <w:left w:w="150" w:type="dxa"/>
              <w:bottom w:w="100" w:type="dxa"/>
              <w:right w:w="150" w:type="dxa"/>
            </w:tcMar>
          </w:tcPr>
          <w:p w14:paraId="55A87F3B" w14:textId="77777777" w:rsidR="00FE3488" w:rsidRDefault="00000000">
            <w:r>
              <w:rPr>
                <w:rFonts w:ascii="Calibri" w:hAnsi="Calibri"/>
                <w:sz w:val="19"/>
              </w:rPr>
              <w:t>947</w:t>
            </w:r>
          </w:p>
        </w:tc>
        <w:tc>
          <w:tcPr>
            <w:tcW w:w="4176" w:type="dxa"/>
            <w:shd w:val="clear" w:color="auto" w:fill="FFFFFF"/>
            <w:tcMar>
              <w:top w:w="100" w:type="dxa"/>
              <w:left w:w="150" w:type="dxa"/>
              <w:bottom w:w="100" w:type="dxa"/>
              <w:right w:w="150" w:type="dxa"/>
            </w:tcMar>
          </w:tcPr>
          <w:p w14:paraId="3C25E5BB" w14:textId="77777777" w:rsidR="00FE3488" w:rsidRDefault="00000000">
            <w:r>
              <w:rPr>
                <w:rFonts w:ascii="Calibri" w:hAnsi="Calibri"/>
                <w:sz w:val="19"/>
              </w:rPr>
              <w:t>Low total radiance across all spectral wavelengths</w:t>
            </w:r>
          </w:p>
        </w:tc>
      </w:tr>
    </w:tbl>
    <w:p w14:paraId="1990465D" w14:textId="77777777" w:rsidR="00FE3488" w:rsidRDefault="00FE3488">
      <w:pPr>
        <w:spacing w:after="120"/>
      </w:pPr>
    </w:p>
    <w:p w14:paraId="4EE81036" w14:textId="77777777" w:rsidR="00FE3488" w:rsidRDefault="00000000">
      <w:pPr>
        <w:pStyle w:val="Heading2"/>
        <w:spacing w:before="240" w:after="120"/>
      </w:pPr>
      <w:r>
        <w:lastRenderedPageBreak/>
        <w:t>3.2. Indian Pines Dataset (Secondary Benchmark)</w:t>
      </w:r>
    </w:p>
    <w:p w14:paraId="37C2CAD3" w14:textId="77777777" w:rsidR="00FE3488" w:rsidRDefault="00000000">
      <w:pPr>
        <w:pStyle w:val="ListBullet"/>
      </w:pPr>
      <w:r>
        <w:t>• Sensor &amp; Platform: Airborne Visible/Infrared Imaging Spectrometer (AVIRIS) sensor flown over the Indian Pines test site in Northwestern Indiana, USA.</w:t>
      </w:r>
    </w:p>
    <w:p w14:paraId="46EBC703" w14:textId="77777777" w:rsidR="00FE3488" w:rsidRDefault="00000000">
      <w:pPr>
        <w:pStyle w:val="ListBullet"/>
      </w:pPr>
      <w:r>
        <w:t>• Spatial Dimensions: 145 x 145 pixels with a 20-meter spatial resolution.</w:t>
      </w:r>
    </w:p>
    <w:p w14:paraId="5E3E8712" w14:textId="77777777" w:rsidR="00FE3488" w:rsidRDefault="00000000">
      <w:pPr>
        <w:pStyle w:val="ListBullet"/>
      </w:pPr>
      <w:r>
        <w:t>• Spectral Characteristics: 200 spectral bands (calibrated across 400 nm to 2500 nm in 10 nm increments) after discarding 20 water-absorption bands (bands 104-108, 150-163, and 220).</w:t>
      </w:r>
    </w:p>
    <w:p w14:paraId="1FD0943C" w14:textId="77777777" w:rsidR="00FE3488" w:rsidRDefault="00000000">
      <w:pPr>
        <w:pStyle w:val="ListBullet"/>
      </w:pPr>
      <w:r>
        <w:t>• Target Complexity: 16 agricultural classes with subtle inter-crop spectral differences (e.g., Corn-notill, Soybean-min, Grass-pasture, Woods).</w:t>
      </w:r>
    </w:p>
    <w:p w14:paraId="1FD37B58" w14:textId="77777777" w:rsidR="00FE3488" w:rsidRDefault="00000000">
      <w:pPr>
        <w:pStyle w:val="Heading1"/>
        <w:spacing w:before="240" w:after="120"/>
      </w:pPr>
      <w:r>
        <w:t>4. Detailed End-to-End Workflow</w:t>
      </w:r>
    </w:p>
    <w:p w14:paraId="0F2FA5A1" w14:textId="77777777" w:rsidR="00FE3488" w:rsidRDefault="00000000">
      <w:r>
        <w:t>The complete execution pipeline is organized into five tightly integrated sequential stages:</w:t>
      </w:r>
    </w:p>
    <w:p w14:paraId="31F1CFFB" w14:textId="77777777" w:rsidR="00FE3488" w:rsidRDefault="00000000">
      <w:pPr>
        <w:pStyle w:val="Heading2"/>
        <w:spacing w:before="240" w:after="120"/>
      </w:pPr>
      <w:r>
        <w:t>Stage 1: Ingestion &amp; Spectral Normalization</w:t>
      </w:r>
    </w:p>
    <w:p w14:paraId="24C49665" w14:textId="77777777" w:rsidR="00FE3488" w:rsidRDefault="00000000">
      <w:r>
        <w:t>The raw HSI data cubes are loaded, standardized per-band (zero mean, unit variance), and processed through PCA to generate 3-channel pseudo-RGB spatial tensors. An NDVI mask (NDVI &gt; 0.2) is computed to separate photosynthetic vegetation from non-vegetative terrain.</w:t>
      </w:r>
    </w:p>
    <w:p w14:paraId="24CA5BBD" w14:textId="77777777" w:rsidR="00FE3488" w:rsidRDefault="00000000">
      <w:pPr>
        <w:pStyle w:val="Heading2"/>
        <w:spacing w:before="240" w:after="120"/>
      </w:pPr>
      <w:r>
        <w:t>Stage 2: Model Instantiation &amp; Parameter Isolation</w:t>
      </w:r>
    </w:p>
    <w:p w14:paraId="022E1A3C" w14:textId="77777777" w:rsidR="00FE3488" w:rsidRDefault="00000000">
      <w:r>
        <w:t>SAM 2.1 Hiera Base+ weights are downloaded and frozen. LoRA matrices are injected into attention heads, and the Spectral Cross-Attention Adapter is instantiated with M = 8 query tokens.</w:t>
      </w:r>
    </w:p>
    <w:p w14:paraId="3DB12898" w14:textId="77777777" w:rsidR="00FE3488" w:rsidRDefault="00000000">
      <w:pPr>
        <w:pStyle w:val="Heading2"/>
        <w:spacing w:before="240" w:after="120"/>
      </w:pPr>
      <w:r>
        <w:t>Stage 3: Cloud Acceleration on Google Colab T4</w:t>
      </w:r>
    </w:p>
    <w:p w14:paraId="506F1CEC" w14:textId="77777777" w:rsidR="00FE3488" w:rsidRDefault="00000000">
      <w:r>
        <w:t>Training is executed with Automatic Mixed Precision (AMP FP16) and combined Focal + Dice Loss to handle extreme class imbalance across spectral classes. Cosine annealing scheduling is applied over 100 epochs with AdamW optimization.</w:t>
      </w:r>
    </w:p>
    <w:p w14:paraId="51B56213" w14:textId="77777777" w:rsidR="00FE3488" w:rsidRDefault="00000000">
      <w:pPr>
        <w:pStyle w:val="Heading2"/>
        <w:spacing w:before="240" w:after="120"/>
      </w:pPr>
      <w:r>
        <w:t>Stage 4: Active Learning Query Loop (10 Rounds)</w:t>
      </w:r>
    </w:p>
    <w:p w14:paraId="368052A9" w14:textId="77777777" w:rsidR="00FE3488" w:rsidRDefault="00000000">
      <w:r>
        <w:t>The model initializes on a tiny seed pool (5.0% labeled pixels). At each round: (1) Model performs MC-Dropout inference (10 passes) over unlabeled pixels; (2) BALD / Shannon entropy uncertainty is computed; (3) Queries are constrained to vegetation masks; (4) The simulated oracle labels the query points; (5) The model updates its weights.</w:t>
      </w:r>
    </w:p>
    <w:p w14:paraId="73EFFC7A" w14:textId="77777777" w:rsidR="00FE3488" w:rsidRDefault="00000000">
      <w:pPr>
        <w:pStyle w:val="Heading2"/>
        <w:spacing w:before="240" w:after="120"/>
      </w:pPr>
      <w:r>
        <w:t>Stage 5: Verification, Metrics &amp; Export</w:t>
      </w:r>
    </w:p>
    <w:p w14:paraId="58B5C16A" w14:textId="77777777" w:rsidR="00FE3488" w:rsidRDefault="00000000">
      <w:r>
        <w:t>Computes test Mean IoU (mIoU), Overall Accuracy (OA), Cohen's Kappa, and Per-Class IoU, saving all weights and publication plots.</w:t>
      </w:r>
    </w:p>
    <w:p w14:paraId="4FC9EB54" w14:textId="77777777" w:rsidR="00FE3488" w:rsidRDefault="00000000">
      <w:pPr>
        <w:pStyle w:val="Heading1"/>
        <w:spacing w:before="240" w:after="120"/>
      </w:pPr>
      <w:r>
        <w:t>5. Liquid Galaxy Panoramic Simulation Methodology</w:t>
      </w:r>
    </w:p>
    <w:tbl>
      <w:tblPr>
        <w:tblW w:w="0" w:type="auto"/>
        <w:jc w:val="center"/>
        <w:tblLook w:val="04A0" w:firstRow="1" w:lastRow="0" w:firstColumn="1" w:lastColumn="0" w:noHBand="0" w:noVBand="1"/>
      </w:tblPr>
      <w:tblGrid>
        <w:gridCol w:w="9360"/>
      </w:tblGrid>
      <w:tr w:rsidR="00FE3488" w14:paraId="49312E83" w14:textId="77777777">
        <w:trPr>
          <w:jc w:val="center"/>
        </w:trPr>
        <w:tc>
          <w:tcPr>
            <w:tcW w:w="9360" w:type="dxa"/>
            <w:shd w:val="clear" w:color="auto" w:fill="EBF3FA"/>
            <w:tcMar>
              <w:top w:w="140" w:type="dxa"/>
              <w:left w:w="200" w:type="dxa"/>
              <w:bottom w:w="140" w:type="dxa"/>
              <w:right w:w="200" w:type="dxa"/>
            </w:tcMar>
          </w:tcPr>
          <w:p w14:paraId="1055DDF8" w14:textId="77777777" w:rsidR="00FE3488" w:rsidRDefault="00000000">
            <w:pPr>
              <w:spacing w:before="40" w:after="40"/>
            </w:pPr>
            <w:r>
              <w:rPr>
                <w:rFonts w:ascii="Calibri" w:hAnsi="Calibri"/>
                <w:b/>
                <w:color w:val="1F4E79"/>
                <w:sz w:val="20"/>
              </w:rPr>
              <w:t xml:space="preserve">Architectural Realism &amp; Constraint Adherence: </w:t>
            </w:r>
            <w:r>
              <w:rPr>
                <w:rFonts w:ascii="Calibri" w:hAnsi="Calibri"/>
                <w:sz w:val="20"/>
              </w:rPr>
              <w:t xml:space="preserve">Liquid Galaxy is a multi-node, panoramic display system </w:t>
            </w:r>
            <w:r>
              <w:rPr>
                <w:rFonts w:ascii="Calibri" w:hAnsi="Calibri"/>
                <w:sz w:val="20"/>
              </w:rPr>
              <w:lastRenderedPageBreak/>
              <w:t>developed for immersive geographical exploration. In strict accordance with the undergraduate zero-budget project guidelines, this work implements a high-fidelity Single-Machine Simulated Liquid Galaxy Environment (multi-panel synchronized web dashboard) that captures the core panoramic multi-view experience without requiring expensive physical multi-machine display hardware rigs.</w:t>
            </w:r>
          </w:p>
        </w:tc>
      </w:tr>
    </w:tbl>
    <w:p w14:paraId="7ED23300" w14:textId="77777777" w:rsidR="00FE3488" w:rsidRDefault="00FE3488">
      <w:pPr>
        <w:spacing w:after="80"/>
      </w:pPr>
    </w:p>
    <w:p w14:paraId="60FB77EA" w14:textId="77777777" w:rsidR="00FE3488" w:rsidRDefault="00000000">
      <w:pPr>
        <w:pStyle w:val="Heading2"/>
        <w:spacing w:before="240" w:after="120"/>
      </w:pPr>
      <w:r>
        <w:t>5.1. Concept &amp; Multi-View Panel Layout</w:t>
      </w:r>
    </w:p>
    <w:p w14:paraId="2A344206" w14:textId="77777777" w:rsidR="00FE3488" w:rsidRDefault="00000000">
      <w:r>
        <w:t>The simulated Liquid Galaxy interface projects 5 synchronized visualization viewports simulating a physical 5-screen panoramic rig:</w:t>
      </w:r>
    </w:p>
    <w:p w14:paraId="31D596E1" w14:textId="77777777" w:rsidR="00FE3488" w:rsidRDefault="00000000">
      <w:pPr>
        <w:pStyle w:val="ListBullet"/>
      </w:pPr>
      <w:r>
        <w:t>• Panel 1 (Left Wing - Spatial Baseline): Displays the PCA-derived false-color pseudo-RGB composite, showing true surface morphology and spatial context.</w:t>
      </w:r>
    </w:p>
    <w:p w14:paraId="6A0A0024" w14:textId="77777777" w:rsidR="00FE3488" w:rsidRDefault="00000000">
      <w:pPr>
        <w:pStyle w:val="ListBullet"/>
      </w:pPr>
      <w:r>
        <w:t>• Panel 2 (Left Center - Uncertainty Heatmap): Renders the pixel-wise Bayesian Active Learning by Disagreement (BALD) and Shannon Entropy heatmaps, highlighting high-uncertainty decision boundaries.</w:t>
      </w:r>
    </w:p>
    <w:p w14:paraId="1CB44D15" w14:textId="77777777" w:rsidR="00FE3488" w:rsidRDefault="00000000">
      <w:pPr>
        <w:pStyle w:val="ListBullet"/>
      </w:pPr>
      <w:r>
        <w:t>• Panel 3 (Center Master - Interactive Segmentation): Displays the real-time predicted semantic classification map with interactive opacity controls overlaying satellite base layers.</w:t>
      </w:r>
    </w:p>
    <w:p w14:paraId="4BFDD69A" w14:textId="77777777" w:rsidR="00FE3488" w:rsidRDefault="00000000">
      <w:pPr>
        <w:pStyle w:val="ListBullet"/>
      </w:pPr>
      <w:r>
        <w:t>• Panel 4 (Right Center - Active Learning Oracle): Visualizes the active query history points per round, color-coded by acquisition order and spatial diversity clusters.</w:t>
      </w:r>
    </w:p>
    <w:p w14:paraId="641E9FB8" w14:textId="77777777" w:rsidR="00FE3488" w:rsidRDefault="00000000">
      <w:pPr>
        <w:pStyle w:val="ListBullet"/>
      </w:pPr>
      <w:r>
        <w:t>• Panel 5 (Right Wing - Analytical Telemetry HUD): Provides real-time annotation-efficiency curves, per-class IoU progress bars, and class distribution telemetry.</w:t>
      </w:r>
    </w:p>
    <w:p w14:paraId="05E24484" w14:textId="77777777" w:rsidR="00FE3488" w:rsidRDefault="00000000">
      <w:pPr>
        <w:pStyle w:val="Heading2"/>
        <w:spacing w:before="240" w:after="120"/>
      </w:pPr>
      <w:r>
        <w:t>5.2. Viewport Synchronization Engine</w:t>
      </w:r>
    </w:p>
    <w:p w14:paraId="546B3A4B" w14:textId="77777777" w:rsidR="00FE3488" w:rsidRDefault="00000000">
      <w:pPr>
        <w:pStyle w:val="ListBullet"/>
      </w:pPr>
      <w:r>
        <w:t>• Coordinate Broadcasting: Panning, zooming, or inspecting any coordinate on the master center viewport triggers synchronized spatial transforms across all four peripheral panels via event-driven JavaScript handlers.</w:t>
      </w:r>
    </w:p>
    <w:p w14:paraId="30A82DE2" w14:textId="77777777" w:rsidR="00FE3488" w:rsidRDefault="00000000">
      <w:pPr>
        <w:pStyle w:val="ListBullet"/>
      </w:pPr>
      <w:r>
        <w:t>• Pixel Inspector &amp; Tooltip Matrix: Hovering over any pixel reveals its underlying 103-band spectral reflectance curve, predicted class label, ground truth status, and MC-Dropout uncertainty score.</w:t>
      </w:r>
    </w:p>
    <w:p w14:paraId="3EF4FA63" w14:textId="77777777" w:rsidR="00FE3488" w:rsidRDefault="00000000">
      <w:pPr>
        <w:pStyle w:val="ListBullet"/>
      </w:pPr>
      <w:r>
        <w:t>• Dual-Mode KML / GeoJSON Export: Predictions and query locations are exported as standard GeoJSON / KML layers, allowing direct projection into real Google Earth / physical Liquid Galaxy installations if deployed in the future.</w:t>
      </w:r>
    </w:p>
    <w:p w14:paraId="57368626" w14:textId="77777777" w:rsidR="00FE3488" w:rsidRDefault="00000000">
      <w:pPr>
        <w:pStyle w:val="Heading1"/>
        <w:spacing w:before="240" w:after="120"/>
      </w:pPr>
      <w:r>
        <w:t>6. Verified Experimental Results Summary</w:t>
      </w:r>
    </w:p>
    <w:p w14:paraId="61C54601" w14:textId="77777777" w:rsidR="00FE3488" w:rsidRDefault="00000000">
      <w:r>
        <w:t>All experimental pipelines were executed on a free Google Colab T4 GPU instance. The key performance metrics and ablation conclusions are summarized below:</w:t>
      </w:r>
    </w:p>
    <w:tbl>
      <w:tblPr>
        <w:tblW w:w="0" w:type="auto"/>
        <w:jc w:val="center"/>
        <w:tblLook w:val="04A0" w:firstRow="1" w:lastRow="0" w:firstColumn="1" w:lastColumn="0" w:noHBand="0" w:noVBand="1"/>
      </w:tblPr>
      <w:tblGrid>
        <w:gridCol w:w="3600"/>
        <w:gridCol w:w="2160"/>
        <w:gridCol w:w="3600"/>
      </w:tblGrid>
      <w:tr w:rsidR="00FE3488" w14:paraId="1154914B" w14:textId="77777777">
        <w:trPr>
          <w:jc w:val="center"/>
        </w:trPr>
        <w:tc>
          <w:tcPr>
            <w:tcW w:w="3600" w:type="dxa"/>
            <w:shd w:val="clear" w:color="auto" w:fill="1F4E79"/>
            <w:tcMar>
              <w:top w:w="120" w:type="dxa"/>
              <w:left w:w="150" w:type="dxa"/>
              <w:bottom w:w="120" w:type="dxa"/>
              <w:right w:w="150" w:type="dxa"/>
            </w:tcMar>
          </w:tcPr>
          <w:p w14:paraId="681B8B46" w14:textId="77777777" w:rsidR="00FE3488" w:rsidRDefault="00000000">
            <w:pPr>
              <w:jc w:val="center"/>
            </w:pPr>
            <w:r>
              <w:rPr>
                <w:rFonts w:ascii="Calibri" w:hAnsi="Calibri"/>
                <w:b/>
                <w:color w:val="FFFFFF"/>
                <w:sz w:val="20"/>
              </w:rPr>
              <w:t>Metric / Benchmark Component</w:t>
            </w:r>
          </w:p>
        </w:tc>
        <w:tc>
          <w:tcPr>
            <w:tcW w:w="2160" w:type="dxa"/>
            <w:shd w:val="clear" w:color="auto" w:fill="1F4E79"/>
            <w:tcMar>
              <w:top w:w="120" w:type="dxa"/>
              <w:left w:w="150" w:type="dxa"/>
              <w:bottom w:w="120" w:type="dxa"/>
              <w:right w:w="150" w:type="dxa"/>
            </w:tcMar>
          </w:tcPr>
          <w:p w14:paraId="03BAE063" w14:textId="77777777" w:rsidR="00FE3488" w:rsidRDefault="00000000">
            <w:pPr>
              <w:jc w:val="center"/>
            </w:pPr>
            <w:r>
              <w:rPr>
                <w:rFonts w:ascii="Calibri" w:hAnsi="Calibri"/>
                <w:b/>
                <w:color w:val="FFFFFF"/>
                <w:sz w:val="20"/>
              </w:rPr>
              <w:t>Measured Score</w:t>
            </w:r>
          </w:p>
        </w:tc>
        <w:tc>
          <w:tcPr>
            <w:tcW w:w="3600" w:type="dxa"/>
            <w:shd w:val="clear" w:color="auto" w:fill="1F4E79"/>
            <w:tcMar>
              <w:top w:w="120" w:type="dxa"/>
              <w:left w:w="150" w:type="dxa"/>
              <w:bottom w:w="120" w:type="dxa"/>
              <w:right w:w="150" w:type="dxa"/>
            </w:tcMar>
          </w:tcPr>
          <w:p w14:paraId="333EF548" w14:textId="77777777" w:rsidR="00FE3488" w:rsidRDefault="00000000">
            <w:pPr>
              <w:jc w:val="center"/>
            </w:pPr>
            <w:r>
              <w:rPr>
                <w:rFonts w:ascii="Calibri" w:hAnsi="Calibri"/>
                <w:b/>
                <w:color w:val="FFFFFF"/>
                <w:sz w:val="20"/>
              </w:rPr>
              <w:t>Significance / Quality Gate Status</w:t>
            </w:r>
          </w:p>
        </w:tc>
      </w:tr>
      <w:tr w:rsidR="00FE3488" w14:paraId="0CFA1995" w14:textId="77777777">
        <w:trPr>
          <w:jc w:val="center"/>
        </w:trPr>
        <w:tc>
          <w:tcPr>
            <w:tcW w:w="3600" w:type="dxa"/>
            <w:shd w:val="clear" w:color="auto" w:fill="FFFFFF"/>
            <w:tcMar>
              <w:top w:w="100" w:type="dxa"/>
              <w:left w:w="150" w:type="dxa"/>
              <w:bottom w:w="100" w:type="dxa"/>
              <w:right w:w="150" w:type="dxa"/>
            </w:tcMar>
          </w:tcPr>
          <w:p w14:paraId="74569E52" w14:textId="77777777" w:rsidR="00FE3488" w:rsidRDefault="00000000">
            <w:r>
              <w:rPr>
                <w:rFonts w:ascii="Calibri" w:hAnsi="Calibri"/>
                <w:sz w:val="19"/>
              </w:rPr>
              <w:t>Overall Accuracy (OA)</w:t>
            </w:r>
          </w:p>
        </w:tc>
        <w:tc>
          <w:tcPr>
            <w:tcW w:w="2160" w:type="dxa"/>
            <w:shd w:val="clear" w:color="auto" w:fill="FFFFFF"/>
            <w:tcMar>
              <w:top w:w="100" w:type="dxa"/>
              <w:left w:w="150" w:type="dxa"/>
              <w:bottom w:w="100" w:type="dxa"/>
              <w:right w:w="150" w:type="dxa"/>
            </w:tcMar>
          </w:tcPr>
          <w:p w14:paraId="3A0492D8" w14:textId="77777777" w:rsidR="00FE3488" w:rsidRDefault="00000000">
            <w:r>
              <w:rPr>
                <w:rFonts w:ascii="Calibri" w:hAnsi="Calibri"/>
                <w:sz w:val="19"/>
              </w:rPr>
              <w:t>91.06%</w:t>
            </w:r>
          </w:p>
        </w:tc>
        <w:tc>
          <w:tcPr>
            <w:tcW w:w="3600" w:type="dxa"/>
            <w:shd w:val="clear" w:color="auto" w:fill="FFFFFF"/>
            <w:tcMar>
              <w:top w:w="100" w:type="dxa"/>
              <w:left w:w="150" w:type="dxa"/>
              <w:bottom w:w="100" w:type="dxa"/>
              <w:right w:w="150" w:type="dxa"/>
            </w:tcMar>
          </w:tcPr>
          <w:p w14:paraId="5C824767" w14:textId="77777777" w:rsidR="00FE3488" w:rsidRDefault="00000000">
            <w:r>
              <w:rPr>
                <w:rFonts w:ascii="Calibri" w:hAnsi="Calibri"/>
                <w:sz w:val="19"/>
              </w:rPr>
              <w:t>Exceeds 70% threshold; matches 100%-</w:t>
            </w:r>
            <w:r>
              <w:rPr>
                <w:rFonts w:ascii="Calibri" w:hAnsi="Calibri"/>
                <w:sz w:val="19"/>
              </w:rPr>
              <w:lastRenderedPageBreak/>
              <w:t>tuned CNNs</w:t>
            </w:r>
          </w:p>
        </w:tc>
      </w:tr>
      <w:tr w:rsidR="00FE3488" w14:paraId="068121C8" w14:textId="77777777">
        <w:trPr>
          <w:jc w:val="center"/>
        </w:trPr>
        <w:tc>
          <w:tcPr>
            <w:tcW w:w="3600" w:type="dxa"/>
            <w:shd w:val="clear" w:color="auto" w:fill="F2F4F7"/>
            <w:tcMar>
              <w:top w:w="100" w:type="dxa"/>
              <w:left w:w="150" w:type="dxa"/>
              <w:bottom w:w="100" w:type="dxa"/>
              <w:right w:w="150" w:type="dxa"/>
            </w:tcMar>
          </w:tcPr>
          <w:p w14:paraId="71B41077" w14:textId="77777777" w:rsidR="00FE3488" w:rsidRDefault="00000000">
            <w:r>
              <w:rPr>
                <w:rFonts w:ascii="Calibri" w:hAnsi="Calibri"/>
                <w:sz w:val="19"/>
              </w:rPr>
              <w:t>Mean Intersection-over-Union (mIoU)</w:t>
            </w:r>
          </w:p>
        </w:tc>
        <w:tc>
          <w:tcPr>
            <w:tcW w:w="2160" w:type="dxa"/>
            <w:shd w:val="clear" w:color="auto" w:fill="F2F4F7"/>
            <w:tcMar>
              <w:top w:w="100" w:type="dxa"/>
              <w:left w:w="150" w:type="dxa"/>
              <w:bottom w:w="100" w:type="dxa"/>
              <w:right w:w="150" w:type="dxa"/>
            </w:tcMar>
          </w:tcPr>
          <w:p w14:paraId="23E88CEF" w14:textId="77777777" w:rsidR="00FE3488" w:rsidRDefault="00000000">
            <w:r>
              <w:rPr>
                <w:rFonts w:ascii="Calibri" w:hAnsi="Calibri"/>
                <w:sz w:val="19"/>
              </w:rPr>
              <w:t>81.66%</w:t>
            </w:r>
          </w:p>
        </w:tc>
        <w:tc>
          <w:tcPr>
            <w:tcW w:w="3600" w:type="dxa"/>
            <w:shd w:val="clear" w:color="auto" w:fill="F2F4F7"/>
            <w:tcMar>
              <w:top w:w="100" w:type="dxa"/>
              <w:left w:w="150" w:type="dxa"/>
              <w:bottom w:w="100" w:type="dxa"/>
              <w:right w:w="150" w:type="dxa"/>
            </w:tcMar>
          </w:tcPr>
          <w:p w14:paraId="2B736F4A" w14:textId="77777777" w:rsidR="00FE3488" w:rsidRDefault="00000000">
            <w:r>
              <w:rPr>
                <w:rFonts w:ascii="Calibri" w:hAnsi="Calibri"/>
                <w:sz w:val="19"/>
              </w:rPr>
              <w:t>Strong spatial overlap across all 9 classes</w:t>
            </w:r>
          </w:p>
        </w:tc>
      </w:tr>
      <w:tr w:rsidR="00FE3488" w14:paraId="631EED93" w14:textId="77777777">
        <w:trPr>
          <w:jc w:val="center"/>
        </w:trPr>
        <w:tc>
          <w:tcPr>
            <w:tcW w:w="3600" w:type="dxa"/>
            <w:shd w:val="clear" w:color="auto" w:fill="FFFFFF"/>
            <w:tcMar>
              <w:top w:w="100" w:type="dxa"/>
              <w:left w:w="150" w:type="dxa"/>
              <w:bottom w:w="100" w:type="dxa"/>
              <w:right w:w="150" w:type="dxa"/>
            </w:tcMar>
          </w:tcPr>
          <w:p w14:paraId="22F9BC77" w14:textId="77777777" w:rsidR="00FE3488" w:rsidRDefault="00000000">
            <w:r>
              <w:rPr>
                <w:rFonts w:ascii="Calibri" w:hAnsi="Calibri"/>
                <w:sz w:val="19"/>
              </w:rPr>
              <w:t>Cohen's Kappa Coefficient</w:t>
            </w:r>
          </w:p>
        </w:tc>
        <w:tc>
          <w:tcPr>
            <w:tcW w:w="2160" w:type="dxa"/>
            <w:shd w:val="clear" w:color="auto" w:fill="FFFFFF"/>
            <w:tcMar>
              <w:top w:w="100" w:type="dxa"/>
              <w:left w:w="150" w:type="dxa"/>
              <w:bottom w:w="100" w:type="dxa"/>
              <w:right w:w="150" w:type="dxa"/>
            </w:tcMar>
          </w:tcPr>
          <w:p w14:paraId="61BFEDA8" w14:textId="77777777" w:rsidR="00FE3488" w:rsidRDefault="00000000">
            <w:r>
              <w:rPr>
                <w:rFonts w:ascii="Calibri" w:hAnsi="Calibri"/>
                <w:sz w:val="19"/>
              </w:rPr>
              <w:t>0.8854</w:t>
            </w:r>
          </w:p>
        </w:tc>
        <w:tc>
          <w:tcPr>
            <w:tcW w:w="3600" w:type="dxa"/>
            <w:shd w:val="clear" w:color="auto" w:fill="FFFFFF"/>
            <w:tcMar>
              <w:top w:w="100" w:type="dxa"/>
              <w:left w:w="150" w:type="dxa"/>
              <w:bottom w:w="100" w:type="dxa"/>
              <w:right w:w="150" w:type="dxa"/>
            </w:tcMar>
          </w:tcPr>
          <w:p w14:paraId="1B0D2A5D" w14:textId="77777777" w:rsidR="00FE3488" w:rsidRDefault="00000000">
            <w:r>
              <w:rPr>
                <w:rFonts w:ascii="Calibri" w:hAnsi="Calibri"/>
                <w:sz w:val="19"/>
              </w:rPr>
              <w:t>High inter-rater reliability (&gt; 0.6 threshold)</w:t>
            </w:r>
          </w:p>
        </w:tc>
      </w:tr>
      <w:tr w:rsidR="00FE3488" w14:paraId="6C68D15A" w14:textId="77777777">
        <w:trPr>
          <w:jc w:val="center"/>
        </w:trPr>
        <w:tc>
          <w:tcPr>
            <w:tcW w:w="3600" w:type="dxa"/>
            <w:shd w:val="clear" w:color="auto" w:fill="F2F4F7"/>
            <w:tcMar>
              <w:top w:w="100" w:type="dxa"/>
              <w:left w:w="150" w:type="dxa"/>
              <w:bottom w:w="100" w:type="dxa"/>
              <w:right w:w="150" w:type="dxa"/>
            </w:tcMar>
          </w:tcPr>
          <w:p w14:paraId="348D1EA8" w14:textId="77777777" w:rsidR="00FE3488" w:rsidRDefault="00000000">
            <w:r>
              <w:rPr>
                <w:rFonts w:ascii="Calibri" w:hAnsi="Calibri"/>
                <w:sz w:val="19"/>
              </w:rPr>
              <w:t>Trainable Parameter Overhead</w:t>
            </w:r>
          </w:p>
        </w:tc>
        <w:tc>
          <w:tcPr>
            <w:tcW w:w="2160" w:type="dxa"/>
            <w:shd w:val="clear" w:color="auto" w:fill="F2F4F7"/>
            <w:tcMar>
              <w:top w:w="100" w:type="dxa"/>
              <w:left w:w="150" w:type="dxa"/>
              <w:bottom w:w="100" w:type="dxa"/>
              <w:right w:w="150" w:type="dxa"/>
            </w:tcMar>
          </w:tcPr>
          <w:p w14:paraId="24DDEF58" w14:textId="77777777" w:rsidR="00FE3488" w:rsidRDefault="00000000">
            <w:r>
              <w:rPr>
                <w:rFonts w:ascii="Calibri" w:hAnsi="Calibri"/>
                <w:sz w:val="19"/>
              </w:rPr>
              <w:t>1.13% (790K / 69.9M)</w:t>
            </w:r>
          </w:p>
        </w:tc>
        <w:tc>
          <w:tcPr>
            <w:tcW w:w="3600" w:type="dxa"/>
            <w:shd w:val="clear" w:color="auto" w:fill="F2F4F7"/>
            <w:tcMar>
              <w:top w:w="100" w:type="dxa"/>
              <w:left w:w="150" w:type="dxa"/>
              <w:bottom w:w="100" w:type="dxa"/>
              <w:right w:w="150" w:type="dxa"/>
            </w:tcMar>
          </w:tcPr>
          <w:p w14:paraId="7133D46A" w14:textId="77777777" w:rsidR="00FE3488" w:rsidRDefault="00000000">
            <w:r>
              <w:rPr>
                <w:rFonts w:ascii="Calibri" w:hAnsi="Calibri"/>
                <w:sz w:val="19"/>
              </w:rPr>
              <w:t>98.87% of foundation model weights remain frozen</w:t>
            </w:r>
          </w:p>
        </w:tc>
      </w:tr>
      <w:tr w:rsidR="00FE3488" w14:paraId="2C5B296B" w14:textId="77777777">
        <w:trPr>
          <w:jc w:val="center"/>
        </w:trPr>
        <w:tc>
          <w:tcPr>
            <w:tcW w:w="3600" w:type="dxa"/>
            <w:shd w:val="clear" w:color="auto" w:fill="FFFFFF"/>
            <w:tcMar>
              <w:top w:w="100" w:type="dxa"/>
              <w:left w:w="150" w:type="dxa"/>
              <w:bottom w:w="100" w:type="dxa"/>
              <w:right w:w="150" w:type="dxa"/>
            </w:tcMar>
          </w:tcPr>
          <w:p w14:paraId="0C346ACD" w14:textId="77777777" w:rsidR="00FE3488" w:rsidRDefault="00000000">
            <w:r>
              <w:rPr>
                <w:rFonts w:ascii="Calibri" w:hAnsi="Calibri"/>
                <w:sz w:val="19"/>
              </w:rPr>
              <w:t>Active Learning Efficiency (at 5.5% Labels)</w:t>
            </w:r>
          </w:p>
        </w:tc>
        <w:tc>
          <w:tcPr>
            <w:tcW w:w="2160" w:type="dxa"/>
            <w:shd w:val="clear" w:color="auto" w:fill="FFFFFF"/>
            <w:tcMar>
              <w:top w:w="100" w:type="dxa"/>
              <w:left w:w="150" w:type="dxa"/>
              <w:bottom w:w="100" w:type="dxa"/>
              <w:right w:w="150" w:type="dxa"/>
            </w:tcMar>
          </w:tcPr>
          <w:p w14:paraId="51F1ECC0" w14:textId="77777777" w:rsidR="00FE3488" w:rsidRDefault="00000000">
            <w:r>
              <w:rPr>
                <w:rFonts w:ascii="Calibri" w:hAnsi="Calibri"/>
                <w:sz w:val="19"/>
              </w:rPr>
              <w:t>74.74% mIoU</w:t>
            </w:r>
          </w:p>
        </w:tc>
        <w:tc>
          <w:tcPr>
            <w:tcW w:w="3600" w:type="dxa"/>
            <w:shd w:val="clear" w:color="auto" w:fill="FFFFFF"/>
            <w:tcMar>
              <w:top w:w="100" w:type="dxa"/>
              <w:left w:w="150" w:type="dxa"/>
              <w:bottom w:w="100" w:type="dxa"/>
              <w:right w:w="150" w:type="dxa"/>
            </w:tcMar>
          </w:tcPr>
          <w:p w14:paraId="49145705" w14:textId="77777777" w:rsidR="00FE3488" w:rsidRDefault="00000000">
            <w:r>
              <w:rPr>
                <w:rFonts w:ascii="Calibri" w:hAnsi="Calibri"/>
                <w:sz w:val="19"/>
              </w:rPr>
              <w:t>+8.87% over passive random sampling; 94.5% label savings</w:t>
            </w:r>
          </w:p>
        </w:tc>
      </w:tr>
    </w:tbl>
    <w:p w14:paraId="4050B61A" w14:textId="77777777" w:rsidR="00FE3488" w:rsidRDefault="00FE3488">
      <w:pPr>
        <w:spacing w:after="240"/>
      </w:pPr>
    </w:p>
    <w:p w14:paraId="7366E12E" w14:textId="77777777" w:rsidR="00FE3488" w:rsidRDefault="00000000">
      <w:pPr>
        <w:pStyle w:val="Heading1"/>
        <w:spacing w:before="240" w:after="120"/>
      </w:pPr>
      <w:r>
        <w:t>7. Key Ablation Study Findings</w:t>
      </w:r>
    </w:p>
    <w:tbl>
      <w:tblPr>
        <w:tblW w:w="0" w:type="auto"/>
        <w:jc w:val="center"/>
        <w:tblLook w:val="04A0" w:firstRow="1" w:lastRow="0" w:firstColumn="1" w:lastColumn="0" w:noHBand="0" w:noVBand="1"/>
      </w:tblPr>
      <w:tblGrid>
        <w:gridCol w:w="3168"/>
        <w:gridCol w:w="2880"/>
        <w:gridCol w:w="3312"/>
      </w:tblGrid>
      <w:tr w:rsidR="00FE3488" w14:paraId="152FE944" w14:textId="77777777">
        <w:trPr>
          <w:jc w:val="center"/>
        </w:trPr>
        <w:tc>
          <w:tcPr>
            <w:tcW w:w="3168" w:type="dxa"/>
            <w:shd w:val="clear" w:color="auto" w:fill="1F4E79"/>
            <w:tcMar>
              <w:top w:w="120" w:type="dxa"/>
              <w:left w:w="150" w:type="dxa"/>
              <w:bottom w:w="120" w:type="dxa"/>
              <w:right w:w="150" w:type="dxa"/>
            </w:tcMar>
          </w:tcPr>
          <w:p w14:paraId="4CD98477" w14:textId="77777777" w:rsidR="00FE3488" w:rsidRDefault="00000000">
            <w:pPr>
              <w:jc w:val="center"/>
            </w:pPr>
            <w:r>
              <w:rPr>
                <w:rFonts w:ascii="Calibri" w:hAnsi="Calibri"/>
                <w:b/>
                <w:color w:val="FFFFFF"/>
                <w:sz w:val="20"/>
              </w:rPr>
              <w:t>Ablation Study Dimension</w:t>
            </w:r>
          </w:p>
        </w:tc>
        <w:tc>
          <w:tcPr>
            <w:tcW w:w="2880" w:type="dxa"/>
            <w:shd w:val="clear" w:color="auto" w:fill="1F4E79"/>
            <w:tcMar>
              <w:top w:w="120" w:type="dxa"/>
              <w:left w:w="150" w:type="dxa"/>
              <w:bottom w:w="120" w:type="dxa"/>
              <w:right w:w="150" w:type="dxa"/>
            </w:tcMar>
          </w:tcPr>
          <w:p w14:paraId="4FBBB2A7" w14:textId="77777777" w:rsidR="00FE3488" w:rsidRDefault="00000000">
            <w:pPr>
              <w:jc w:val="center"/>
            </w:pPr>
            <w:r>
              <w:rPr>
                <w:rFonts w:ascii="Calibri" w:hAnsi="Calibri"/>
                <w:b/>
                <w:color w:val="FFFFFF"/>
                <w:sz w:val="20"/>
              </w:rPr>
              <w:t>Optimal Configuration</w:t>
            </w:r>
          </w:p>
        </w:tc>
        <w:tc>
          <w:tcPr>
            <w:tcW w:w="3312" w:type="dxa"/>
            <w:shd w:val="clear" w:color="auto" w:fill="1F4E79"/>
            <w:tcMar>
              <w:top w:w="120" w:type="dxa"/>
              <w:left w:w="150" w:type="dxa"/>
              <w:bottom w:w="120" w:type="dxa"/>
              <w:right w:w="150" w:type="dxa"/>
            </w:tcMar>
          </w:tcPr>
          <w:p w14:paraId="6EC1A04F" w14:textId="77777777" w:rsidR="00FE3488" w:rsidRDefault="00000000">
            <w:pPr>
              <w:jc w:val="center"/>
            </w:pPr>
            <w:r>
              <w:rPr>
                <w:rFonts w:ascii="Calibri" w:hAnsi="Calibri"/>
                <w:b/>
                <w:color w:val="FFFFFF"/>
                <w:sz w:val="20"/>
              </w:rPr>
              <w:t>Observed Empirical Effect</w:t>
            </w:r>
          </w:p>
        </w:tc>
      </w:tr>
      <w:tr w:rsidR="00FE3488" w14:paraId="7E270554" w14:textId="77777777">
        <w:trPr>
          <w:jc w:val="center"/>
        </w:trPr>
        <w:tc>
          <w:tcPr>
            <w:tcW w:w="3168" w:type="dxa"/>
            <w:shd w:val="clear" w:color="auto" w:fill="FFFFFF"/>
            <w:tcMar>
              <w:top w:w="100" w:type="dxa"/>
              <w:left w:w="150" w:type="dxa"/>
              <w:bottom w:w="100" w:type="dxa"/>
              <w:right w:w="150" w:type="dxa"/>
            </w:tcMar>
          </w:tcPr>
          <w:p w14:paraId="6A14A533" w14:textId="77777777" w:rsidR="00FE3488" w:rsidRDefault="00000000">
            <w:r>
              <w:rPr>
                <w:rFonts w:ascii="Calibri" w:hAnsi="Calibri"/>
                <w:sz w:val="19"/>
              </w:rPr>
              <w:t>Adapter Contribution</w:t>
            </w:r>
          </w:p>
        </w:tc>
        <w:tc>
          <w:tcPr>
            <w:tcW w:w="2880" w:type="dxa"/>
            <w:shd w:val="clear" w:color="auto" w:fill="FFFFFF"/>
            <w:tcMar>
              <w:top w:w="100" w:type="dxa"/>
              <w:left w:w="150" w:type="dxa"/>
              <w:bottom w:w="100" w:type="dxa"/>
              <w:right w:w="150" w:type="dxa"/>
            </w:tcMar>
          </w:tcPr>
          <w:p w14:paraId="35128B04" w14:textId="77777777" w:rsidR="00FE3488" w:rsidRDefault="00000000">
            <w:r>
              <w:rPr>
                <w:rFonts w:ascii="Calibri" w:hAnsi="Calibri"/>
                <w:sz w:val="19"/>
              </w:rPr>
              <w:t>With Spectral Adapter (81.51% mIoU)</w:t>
            </w:r>
          </w:p>
        </w:tc>
        <w:tc>
          <w:tcPr>
            <w:tcW w:w="3312" w:type="dxa"/>
            <w:shd w:val="clear" w:color="auto" w:fill="FFFFFF"/>
            <w:tcMar>
              <w:top w:w="100" w:type="dxa"/>
              <w:left w:w="150" w:type="dxa"/>
              <w:bottom w:w="100" w:type="dxa"/>
              <w:right w:w="150" w:type="dxa"/>
            </w:tcMar>
          </w:tcPr>
          <w:p w14:paraId="236BEB1A" w14:textId="77777777" w:rsidR="00FE3488" w:rsidRDefault="00000000">
            <w:r>
              <w:rPr>
                <w:rFonts w:ascii="Calibri" w:hAnsi="Calibri"/>
                <w:sz w:val="19"/>
              </w:rPr>
              <w:t>Massive +79.19% gain over baseline SAM 2 (2.32% mIoU)</w:t>
            </w:r>
          </w:p>
        </w:tc>
      </w:tr>
      <w:tr w:rsidR="00FE3488" w14:paraId="7021AB4F" w14:textId="77777777">
        <w:trPr>
          <w:jc w:val="center"/>
        </w:trPr>
        <w:tc>
          <w:tcPr>
            <w:tcW w:w="3168" w:type="dxa"/>
            <w:shd w:val="clear" w:color="auto" w:fill="F2F4F7"/>
            <w:tcMar>
              <w:top w:w="100" w:type="dxa"/>
              <w:left w:w="150" w:type="dxa"/>
              <w:bottom w:w="100" w:type="dxa"/>
              <w:right w:w="150" w:type="dxa"/>
            </w:tcMar>
          </w:tcPr>
          <w:p w14:paraId="3A047342" w14:textId="77777777" w:rsidR="00FE3488" w:rsidRDefault="00000000">
            <w:r>
              <w:rPr>
                <w:rFonts w:ascii="Calibri" w:hAnsi="Calibri"/>
                <w:sz w:val="19"/>
              </w:rPr>
              <w:t>LoRA Rank Sensitivity</w:t>
            </w:r>
          </w:p>
        </w:tc>
        <w:tc>
          <w:tcPr>
            <w:tcW w:w="2880" w:type="dxa"/>
            <w:shd w:val="clear" w:color="auto" w:fill="F2F4F7"/>
            <w:tcMar>
              <w:top w:w="100" w:type="dxa"/>
              <w:left w:w="150" w:type="dxa"/>
              <w:bottom w:w="100" w:type="dxa"/>
              <w:right w:w="150" w:type="dxa"/>
            </w:tcMar>
          </w:tcPr>
          <w:p w14:paraId="57C67BAC" w14:textId="77777777" w:rsidR="00FE3488" w:rsidRDefault="00000000">
            <w:r>
              <w:rPr>
                <w:rFonts w:ascii="Calibri" w:hAnsi="Calibri"/>
                <w:sz w:val="19"/>
              </w:rPr>
              <w:t>Rank r = 8 (81.51% mIoU)</w:t>
            </w:r>
          </w:p>
        </w:tc>
        <w:tc>
          <w:tcPr>
            <w:tcW w:w="3312" w:type="dxa"/>
            <w:shd w:val="clear" w:color="auto" w:fill="F2F4F7"/>
            <w:tcMar>
              <w:top w:w="100" w:type="dxa"/>
              <w:left w:w="150" w:type="dxa"/>
              <w:bottom w:w="100" w:type="dxa"/>
              <w:right w:w="150" w:type="dxa"/>
            </w:tcMar>
          </w:tcPr>
          <w:p w14:paraId="7483675F" w14:textId="77777777" w:rsidR="00FE3488" w:rsidRDefault="00000000">
            <w:r>
              <w:rPr>
                <w:rFonts w:ascii="Calibri" w:hAnsi="Calibri"/>
                <w:sz w:val="19"/>
              </w:rPr>
              <w:t>Stable performance across r=4, 8, 16 with minimal params</w:t>
            </w:r>
          </w:p>
        </w:tc>
      </w:tr>
      <w:tr w:rsidR="00FE3488" w14:paraId="6063F7E7" w14:textId="77777777">
        <w:trPr>
          <w:jc w:val="center"/>
        </w:trPr>
        <w:tc>
          <w:tcPr>
            <w:tcW w:w="3168" w:type="dxa"/>
            <w:shd w:val="clear" w:color="auto" w:fill="FFFFFF"/>
            <w:tcMar>
              <w:top w:w="100" w:type="dxa"/>
              <w:left w:w="150" w:type="dxa"/>
              <w:bottom w:w="100" w:type="dxa"/>
              <w:right w:w="150" w:type="dxa"/>
            </w:tcMar>
          </w:tcPr>
          <w:p w14:paraId="56B5E305" w14:textId="77777777" w:rsidR="00FE3488" w:rsidRDefault="00000000">
            <w:r>
              <w:rPr>
                <w:rFonts w:ascii="Calibri" w:hAnsi="Calibri"/>
                <w:sz w:val="19"/>
              </w:rPr>
              <w:t>Spectral Query Bank Size (M)</w:t>
            </w:r>
          </w:p>
        </w:tc>
        <w:tc>
          <w:tcPr>
            <w:tcW w:w="2880" w:type="dxa"/>
            <w:shd w:val="clear" w:color="auto" w:fill="FFFFFF"/>
            <w:tcMar>
              <w:top w:w="100" w:type="dxa"/>
              <w:left w:w="150" w:type="dxa"/>
              <w:bottom w:w="100" w:type="dxa"/>
              <w:right w:w="150" w:type="dxa"/>
            </w:tcMar>
          </w:tcPr>
          <w:p w14:paraId="1AD31142" w14:textId="77777777" w:rsidR="00FE3488" w:rsidRDefault="00000000">
            <w:r>
              <w:rPr>
                <w:rFonts w:ascii="Calibri" w:hAnsi="Calibri"/>
                <w:sz w:val="19"/>
              </w:rPr>
              <w:t>M = 8 (82.35% mIoU)</w:t>
            </w:r>
          </w:p>
        </w:tc>
        <w:tc>
          <w:tcPr>
            <w:tcW w:w="3312" w:type="dxa"/>
            <w:shd w:val="clear" w:color="auto" w:fill="FFFFFF"/>
            <w:tcMar>
              <w:top w:w="100" w:type="dxa"/>
              <w:left w:w="150" w:type="dxa"/>
              <w:bottom w:w="100" w:type="dxa"/>
              <w:right w:w="150" w:type="dxa"/>
            </w:tcMar>
          </w:tcPr>
          <w:p w14:paraId="2E49CDAB" w14:textId="77777777" w:rsidR="00FE3488" w:rsidRDefault="00000000">
            <w:r>
              <w:rPr>
                <w:rFonts w:ascii="Calibri" w:hAnsi="Calibri"/>
                <w:sz w:val="19"/>
              </w:rPr>
              <w:t>Peak accuracy sweet spot; balances capacity &amp; overfitting</w:t>
            </w:r>
          </w:p>
        </w:tc>
      </w:tr>
      <w:tr w:rsidR="00FE3488" w14:paraId="27E909C3" w14:textId="77777777">
        <w:trPr>
          <w:jc w:val="center"/>
        </w:trPr>
        <w:tc>
          <w:tcPr>
            <w:tcW w:w="3168" w:type="dxa"/>
            <w:shd w:val="clear" w:color="auto" w:fill="F2F4F7"/>
            <w:tcMar>
              <w:top w:w="100" w:type="dxa"/>
              <w:left w:w="150" w:type="dxa"/>
              <w:bottom w:w="100" w:type="dxa"/>
              <w:right w:w="150" w:type="dxa"/>
            </w:tcMar>
          </w:tcPr>
          <w:p w14:paraId="762A5080" w14:textId="77777777" w:rsidR="00FE3488" w:rsidRDefault="00000000">
            <w:r>
              <w:rPr>
                <w:rFonts w:ascii="Calibri" w:hAnsi="Calibri"/>
                <w:sz w:val="19"/>
              </w:rPr>
              <w:t>Segmentation Head Architecture</w:t>
            </w:r>
          </w:p>
        </w:tc>
        <w:tc>
          <w:tcPr>
            <w:tcW w:w="2880" w:type="dxa"/>
            <w:shd w:val="clear" w:color="auto" w:fill="F2F4F7"/>
            <w:tcMar>
              <w:top w:w="100" w:type="dxa"/>
              <w:left w:w="150" w:type="dxa"/>
              <w:bottom w:w="100" w:type="dxa"/>
              <w:right w:w="150" w:type="dxa"/>
            </w:tcMar>
          </w:tcPr>
          <w:p w14:paraId="505F3ACE" w14:textId="77777777" w:rsidR="00FE3488" w:rsidRDefault="00000000">
            <w:r>
              <w:rPr>
                <w:rFonts w:ascii="Calibri" w:hAnsi="Calibri"/>
                <w:sz w:val="19"/>
              </w:rPr>
              <w:t>2-Layer MLP Head (82.88% mIoU)</w:t>
            </w:r>
          </w:p>
        </w:tc>
        <w:tc>
          <w:tcPr>
            <w:tcW w:w="3312" w:type="dxa"/>
            <w:shd w:val="clear" w:color="auto" w:fill="F2F4F7"/>
            <w:tcMar>
              <w:top w:w="100" w:type="dxa"/>
              <w:left w:w="150" w:type="dxa"/>
              <w:bottom w:w="100" w:type="dxa"/>
              <w:right w:w="150" w:type="dxa"/>
            </w:tcMar>
          </w:tcPr>
          <w:p w14:paraId="705FD7DC" w14:textId="77777777" w:rsidR="00FE3488" w:rsidRDefault="00000000">
            <w:r>
              <w:rPr>
                <w:rFonts w:ascii="Calibri" w:hAnsi="Calibri"/>
                <w:sz w:val="19"/>
              </w:rPr>
              <w:t>+1.37% mIoU boost over standard 1x1 Conv head</w:t>
            </w:r>
          </w:p>
        </w:tc>
      </w:tr>
    </w:tbl>
    <w:p w14:paraId="3228349D" w14:textId="77777777" w:rsidR="00B24FCD" w:rsidRDefault="00B24FCD"/>
    <w:sectPr w:rsidR="00B24FC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83913">
    <w:abstractNumId w:val="8"/>
  </w:num>
  <w:num w:numId="2" w16cid:durableId="1839733329">
    <w:abstractNumId w:val="6"/>
  </w:num>
  <w:num w:numId="3" w16cid:durableId="1485006843">
    <w:abstractNumId w:val="5"/>
  </w:num>
  <w:num w:numId="4" w16cid:durableId="1116561519">
    <w:abstractNumId w:val="4"/>
  </w:num>
  <w:num w:numId="5" w16cid:durableId="18820358">
    <w:abstractNumId w:val="7"/>
  </w:num>
  <w:num w:numId="6" w16cid:durableId="1818569886">
    <w:abstractNumId w:val="3"/>
  </w:num>
  <w:num w:numId="7" w16cid:durableId="333847815">
    <w:abstractNumId w:val="2"/>
  </w:num>
  <w:num w:numId="8" w16cid:durableId="523398186">
    <w:abstractNumId w:val="1"/>
  </w:num>
  <w:num w:numId="9" w16cid:durableId="1414471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A1F"/>
    <w:rsid w:val="0029639D"/>
    <w:rsid w:val="002F0A69"/>
    <w:rsid w:val="00326F90"/>
    <w:rsid w:val="00AA1D8D"/>
    <w:rsid w:val="00B24FCD"/>
    <w:rsid w:val="00B47730"/>
    <w:rsid w:val="00CB0664"/>
    <w:rsid w:val="00FC693F"/>
    <w:rsid w:val="00FE34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412D10"/>
  <w14:defaultImageDpi w14:val="300"/>
  <w15:docId w15:val="{8685E6C2-78CD-44C9-9948-C945B8350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8</Pages>
  <Words>1759</Words>
  <Characters>10029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Rushant Meshram</cp:lastModifiedBy>
  <cp:revision>2</cp:revision>
  <dcterms:created xsi:type="dcterms:W3CDTF">2013-12-23T23:15:00Z</dcterms:created>
  <dcterms:modified xsi:type="dcterms:W3CDTF">2026-08-31T14:21:00Z</dcterms:modified>
  <cp:category/>
</cp:coreProperties>
</file>