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Exploratory Data Analysis (EDA) Report</w:t>
      </w:r>
    </w:p>
    <w:p>
      <w:pPr>
        <w:spacing w:after="300"/>
        <w:jc w:val="center"/>
      </w:pPr>
      <w:r>
        <w:rPr>
          <w:i/>
          <w:iCs/>
          <w:color w:val="595959"/>
        </w:rPr>
        <w:t xml:space="preserve">Air Quality Index Forecasting — Review I</w:t>
      </w:r>
    </w:p>
    <w:p>
      <w:pPr>
        <w:pStyle w:val="Heading2"/>
      </w:pPr>
      <w:r>
        <w:t xml:space="preserve">1. Missing Values Analysis</w:t>
      </w:r>
    </w:p>
    <w:p>
      <w:pPr>
        <w:spacing w:after="160"/>
      </w:pPr>
      <w:r>
        <w:t xml:space="preserve">Missing values were assessed across all pollutant columns on the raw (pre-cleaning) merged dataset. Only a single AQI value was missing across 12,042 rows (0.01%) — the dataset is effectively complete, which is consistent with it being a curated republishing of official CPCB bulletins rather than raw sensor telemetry.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01_missing_values_heatmap.png" descr="Figure 1: Missing value pattern across pollutant columns (raw data)" title="Figure 1: Missing value pattern across pollutant columns (raw dat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1: Missing value pattern across pollutant columns (raw data)</w:t>
      </w:r>
    </w:p>
    <w:p>
      <w:pPr>
        <w:pStyle w:val="Heading2"/>
      </w:pPr>
      <w:r>
        <w:t xml:space="preserve">2. Distribution and Outlier Analysis</w:t>
      </w:r>
    </w:p>
    <w:p>
      <w:pPr>
        <w:spacing w:after="160"/>
      </w:pPr>
      <w:r>
        <w:t xml:space="preserve">AQI is right-skewed: most days sit in the Moderate-to-Poor range (AQI 60-150), with a long tail of severe pollution episodes reaching above 400, concentrated in Delhi's winter months. Using the IQR method, approximately 8.3% of records across all pollutant columns fall outside the [Q1-1.5*IQR, Q3+1.5*IQR] bounds — these were retained as genuine extreme pollution events rather than treated as data errors.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05_aqi_histogram.png" descr="Figure 2: AQI distribution across all cities combined (right-skewed, long tail)" title="Figure 2: AQI distribution across all cities combined (right-skewed, long tai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2: AQI distribution across all cities combined (right-skewed, long tail)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438400"/>
            <wp:effectExtent t="0" r="0" b="0" l="0"/>
            <wp:docPr id="1" name="02_aqi_boxplot_by_city.png" descr="Figure 3: AQI distribution by city — Delhi shows the highest median and widest spread" title="Figure 3: AQI distribution by city — Delhi shows the highest median and widest spr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3: AQI distribution by city — Delhi shows the highest median and widest spread</w:t>
      </w:r>
    </w:p>
    <w:p>
      <w:pPr>
        <w:pStyle w:val="Heading2"/>
      </w:pPr>
      <w:r>
        <w:t xml:space="preserve">3. Temporal Trend and Seasonality</w:t>
      </w:r>
    </w:p>
    <w:p>
      <w:pPr>
        <w:spacing w:after="160"/>
      </w:pPr>
      <w:r>
        <w:t xml:space="preserve">Monthly average AQI was tracked across the full 2018-2024 window per city. A clear seasonal cycle is visible: AQI rises sharply from October through January (post-monsoon stagnation, winter inversion, and crop-residue burning) and falls during the monsoon months (June-September) when rainfall scrubs particulate matter from the air. Delhi shows by far the most extreme seasonal swing of the five cities.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03_aqi_monthly_trend.png" descr="Figure 4: Monthly average AQI trend by city (2018-2024)" title="Figure 4: Monthly average AQI trend by city (2018-202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4: Monthly average AQI trend by city (2018-2024)</w:t>
      </w:r>
    </w:p>
    <w:p>
      <w:pPr>
        <w:spacing w:after="60" w:before="120"/>
        <w:jc w:val="center"/>
      </w:pPr>
      <w:r>
        <w:drawing>
          <wp:inline distT="0" distB="0" distL="0" distR="0">
            <wp:extent cx="4381500" cy="2743200"/>
            <wp:effectExtent t="0" r="0" b="0" l="0"/>
            <wp:docPr id="1" name="06_seasonality_by_month.png" descr="Figure 5: Average AQI by calendar month, by city — winter peak is consistent across cities" title="Figure 5: Average AQI by calendar month, by city — winter peak is consistent across 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5: Average AQI by calendar month, by city — winter peak is consistent across cities</w:t>
      </w:r>
    </w:p>
    <w:p>
      <w:pPr>
        <w:spacing w:after="60" w:before="120"/>
        <w:jc w:val="center"/>
      </w:pPr>
      <w:r>
        <w:drawing>
          <wp:inline distT="0" distB="0" distL="0" distR="0">
            <wp:extent cx="3619500" cy="2581275"/>
            <wp:effectExtent t="0" r="0" b="0" l="0"/>
            <wp:docPr id="1" name="07_weekday_weekend.png" descr="Figure 6: AQI on weekdays vs weekends — only a marginal difference, suggesting traffic alone is not the dominant driver" title="Figure 6: AQI on weekdays vs weekends — only a marginal difference, suggesting traffic alone is not the dominant driv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6: AQI on weekdays vs weekends — only a marginal difference, suggesting traffic alone is not the dominant driver</w:t>
      </w:r>
    </w:p>
    <w:p>
      <w:pPr>
        <w:pStyle w:val="Heading2"/>
      </w:pPr>
      <w:r>
        <w:t xml:space="preserve">4. Feature Correlation Analysis</w:t>
      </w:r>
    </w:p>
    <w:p>
      <w:pPr>
        <w:spacing w:after="160"/>
      </w:pPr>
      <w:r>
        <w:t xml:space="preserve">All pollutant columns are very highly correlated with AQI (correlation coefficients above 0.95). This is expected given that, in this dataset, pollutant concentrations are mathematically back-calculated from AQI itself, rather than independently measured — same-day pollutant values are therefore not usable as predictive features without leaking the target. This finding directly shaped the baseline model's feature design (see Baseline Model Report).</w:t>
      </w:r>
    </w:p>
    <w:p>
      <w:pPr>
        <w:spacing w:after="60" w:before="120"/>
        <w:jc w:val="center"/>
      </w:pPr>
      <w:r>
        <w:drawing>
          <wp:inline distT="0" distB="0" distL="0" distR="0">
            <wp:extent cx="4000500" cy="3429000"/>
            <wp:effectExtent t="0" r="0" b="0" l="0"/>
            <wp:docPr id="1" name="04_correlation_heatmap.png" descr="Figure 7: Correlation matrix between AQI and pollutant columns" title="Figure 7: Correlation matrix between AQI and pollutant colum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95959"/>
          <w:sz w:val="18"/>
          <w:szCs w:val="18"/>
        </w:rPr>
        <w:t xml:space="preserve">Figure 7: Correlation matrix between AQI and pollutant columns</w:t>
      </w:r>
    </w:p>
    <w:p>
      <w:pPr>
        <w:pStyle w:val="Heading2"/>
      </w:pPr>
      <w:r>
        <w:t xml:space="preserve">5. Key EDA Findings</w:t>
      </w:r>
    </w:p>
    <w:p>
      <w:pPr>
        <w:pStyle w:val="ListParagraph"/>
        <w:numPr>
          <w:ilvl w:val="0"/>
          <w:numId w:val="2"/>
        </w:numPr>
      </w:pPr>
      <w:r>
        <w:t xml:space="preserve">Dataset is essentially complete (0.01% missing); no significant imputation burden.</w:t>
      </w:r>
    </w:p>
    <w:p>
      <w:pPr>
        <w:pStyle w:val="ListParagraph"/>
        <w:numPr>
          <w:ilvl w:val="0"/>
          <w:numId w:val="2"/>
        </w:numPr>
      </w:pPr>
      <w:r>
        <w:t xml:space="preserve">AQI is right-skewed with a heavy winter tail, especially in Delhi — extreme values are real pollution episodes, not noise.</w:t>
      </w:r>
    </w:p>
    <w:p>
      <w:pPr>
        <w:pStyle w:val="ListParagraph"/>
        <w:numPr>
          <w:ilvl w:val="0"/>
          <w:numId w:val="2"/>
        </w:numPr>
      </w:pPr>
      <w:r>
        <w:t xml:space="preserve">Strong seasonality: AQI consistently peaks October-January and dips June-September across all five cities.</w:t>
      </w:r>
    </w:p>
    <w:p>
      <w:pPr>
        <w:pStyle w:val="ListParagraph"/>
        <w:numPr>
          <w:ilvl w:val="0"/>
          <w:numId w:val="2"/>
        </w:numPr>
      </w:pPr>
      <w:r>
        <w:t xml:space="preserve">Weekday/weekend difference in AQI is minimal, suggesting that vehicular traffic is a secondary driver compared to seasonal/meteorological factors and stubble burning.</w:t>
      </w:r>
    </w:p>
    <w:p>
      <w:pPr>
        <w:pStyle w:val="ListParagraph"/>
        <w:numPr>
          <w:ilvl w:val="0"/>
          <w:numId w:val="2"/>
        </w:numPr>
      </w:pPr>
      <w:r>
        <w:t xml:space="preserve">Same-day pollutant concentrations are too highly correlated with AQI to be used as model inputs (target leakage); lagged versions of these features must be used instead for genuine forecasting.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39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546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fa5977d473ea5bea0343948b2bb6babdc0ca41e.png"/><Relationship Id="rId8" Type="http://schemas.openxmlformats.org/officeDocument/2006/relationships/image" Target="media/94c5250bf0bd340f7d098b3707729eedf7b596a8.png"/><Relationship Id="rId9" Type="http://schemas.openxmlformats.org/officeDocument/2006/relationships/image" Target="media/7536d8717b19a9398ca829f33079aaa3c99c7d2e.png"/><Relationship Id="rId10" Type="http://schemas.openxmlformats.org/officeDocument/2006/relationships/image" Target="media/f6154b33eacdaa68124f9fdea786903b810323d4.png"/><Relationship Id="rId11" Type="http://schemas.openxmlformats.org/officeDocument/2006/relationships/image" Target="media/b438077d9812f598c61032b1707258b28469dc5e.png"/><Relationship Id="rId12" Type="http://schemas.openxmlformats.org/officeDocument/2006/relationships/image" Target="media/5e751c6620fefac3b81128bda2d6d42426a150ce.png"/><Relationship Id="rId13" Type="http://schemas.openxmlformats.org/officeDocument/2006/relationships/image" Target="media/6e86a1fcc6b0a30f5d8e47786381fc49a9f1bbb2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2026-06-21T18:45:55.911Z</dcterms:created>
  <dcterms:modified xsi:type="dcterms:W3CDTF">2026-06-21T18:45:55.911Z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