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Dataset Report</w:t>
      </w:r>
    </w:p>
    <w:p>
      <w:pPr>
        <w:spacing w:after="300"/>
        <w:jc w:val="center"/>
      </w:pPr>
      <w:r>
        <w:rPr>
          <w:i/>
          <w:iCs/>
          <w:color w:val="595959"/>
        </w:rPr>
        <w:t xml:space="preserve">Air Quality Index Forecasting — Review I</w:t>
      </w:r>
    </w:p>
    <w:p>
      <w:pPr>
        <w:pStyle w:val="Heading2"/>
      </w:pPr>
      <w:r>
        <w:t xml:space="preserve">1. Dataset Source</w:t>
      </w:r>
    </w:p>
    <w:p>
      <w:pPr>
        <w:spacing w:after="160"/>
      </w:pPr>
      <w:r>
        <w:t xml:space="preserve">The dataset consists of daily Air Quality Index (AQI) records for five major Indian cities — Delhi, Mumbai, Chennai, Hyderabad, and Bangalore. AQI values are sourced from the Central Pollution Control Board (CPCB), the official Government of India body responsible for air quality monitoring. Pollutant concentrations (PM2.5, PM10, NO2, SO2, CO, O3) accompanying each AQI reading are provided as estimated values, mathematically back-calculated from AQI using standard AQI-to-pollutant sub-index formulas, since the underlying public CPCB bulletins report AQI directly rather than always publishing every individual pollutant concentration.</w:t>
      </w:r>
    </w:p>
    <w:p>
      <w:pPr>
        <w:spacing w:after="160"/>
      </w:pPr>
      <w:r>
        <w:t xml:space="preserve">Data was obtained from a public, CC-BY-4.0 licensed GitHub repository (cp099/India-Air-Quality-Dataset) that compiles and republishes CPCB AQI bulletins city-wise. Combined, the five city-level files were merged into a single master dataset for this project.</w:t>
      </w:r>
    </w:p>
    <w:p>
      <w:pPr>
        <w:pStyle w:val="Heading2"/>
      </w:pPr>
      <w:r>
        <w:t xml:space="preserve">2. Coverage and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City</w:t>
            </w:r>
          </w:p>
        </w:tc>
        <w:tc>
          <w:tcPr>
            <w:tcW w:type="dxa" w:w="234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Start date</w:t>
            </w:r>
          </w:p>
        </w:tc>
        <w:tc>
          <w:tcPr>
            <w:tcW w:type="dxa" w:w="234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End date</w:t>
            </w:r>
          </w:p>
        </w:tc>
        <w:tc>
          <w:tcPr>
            <w:tcW w:type="dxa" w:w="234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Record count</w:t>
            </w:r>
          </w:p>
        </w:tc>
      </w:tr>
      <w:tr>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Bangalore</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01-01-2018</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31-12-2024</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2556</w:t>
            </w:r>
          </w:p>
        </w:tc>
      </w:tr>
      <w:tr>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Chennai</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01-01-2018</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31-12-2024</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2551</w:t>
            </w:r>
          </w:p>
        </w:tc>
      </w:tr>
      <w:tr>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Delhi</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01-01-2018</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31-12-2024</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2191</w:t>
            </w:r>
          </w:p>
        </w:tc>
      </w:tr>
      <w:tr>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Hyderabad</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01-01-2018</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31-12-2024</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2556</w:t>
            </w:r>
          </w:p>
        </w:tc>
      </w:tr>
      <w:tr>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Mumbai</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01-01-2019</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31-12-2024</w:t>
            </w:r>
          </w:p>
        </w:tc>
        <w:tc>
          <w:tcPr>
            <w:tcW w:type="dxa" w:w="234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2188</w:t>
            </w:r>
          </w:p>
        </w:tc>
      </w:tr>
    </w:tbl>
    <w:p>
      <w:pPr>
        <w:spacing w:before="200"/>
      </w:pPr>
    </w:p>
    <w:p>
      <w:pPr>
        <w:spacing w:after="160"/>
      </w:pPr>
      <w:r>
        <w:t xml:space="preserve">Total merged dataset: 12,042 raw daily records across all five cities (2018-2024). After cleaning, deduplication, and constructing lag features required for forecasting, the working dataset used for modeling contains 12,027 records.</w:t>
      </w:r>
    </w:p>
    <w:p>
      <w:pPr>
        <w:pStyle w:val="Heading2"/>
      </w:pPr>
      <w:r>
        <w:t xml:space="preserve">3. Features Description</w:t>
      </w:r>
    </w:p>
    <w:p>
      <w:pPr>
        <w:pStyle w:val="ListParagraph"/>
        <w:numPr>
          <w:ilvl w:val="0"/>
          <w:numId w:val="2"/>
        </w:numPr>
      </w:pPr>
      <w:r>
        <w:t xml:space="preserve">City — categorical, one of the 5 metros covered.</w:t>
      </w:r>
    </w:p>
    <w:p>
      <w:pPr>
        <w:pStyle w:val="ListParagraph"/>
        <w:numPr>
          <w:ilvl w:val="0"/>
          <w:numId w:val="2"/>
        </w:numPr>
      </w:pPr>
      <w:r>
        <w:t xml:space="preserve">Date — daily timestamp, 01-01-2018 to 31-12-2024 (Mumbai from 2019).</w:t>
      </w:r>
    </w:p>
    <w:p>
      <w:pPr>
        <w:pStyle w:val="ListParagraph"/>
        <w:numPr>
          <w:ilvl w:val="0"/>
          <w:numId w:val="2"/>
        </w:numPr>
      </w:pPr>
      <w:r>
        <w:t xml:space="preserve">AQI — target variable, India's composite Air Quality Index (range observed: 19-494).</w:t>
      </w:r>
    </w:p>
    <w:p>
      <w:pPr>
        <w:pStyle w:val="ListParagraph"/>
        <w:numPr>
          <w:ilvl w:val="0"/>
          <w:numId w:val="2"/>
        </w:numPr>
      </w:pPr>
      <w:r>
        <w:t xml:space="preserve">PM2.5, PM10 — particulate matter concentrations (µg/m³).</w:t>
      </w:r>
    </w:p>
    <w:p>
      <w:pPr>
        <w:pStyle w:val="ListParagraph"/>
        <w:numPr>
          <w:ilvl w:val="0"/>
          <w:numId w:val="2"/>
        </w:numPr>
      </w:pPr>
      <w:r>
        <w:t xml:space="preserve">NO2, SO2 — nitrogen dioxide and sulfur dioxide concentrations.</w:t>
      </w:r>
    </w:p>
    <w:p>
      <w:pPr>
        <w:pStyle w:val="ListParagraph"/>
        <w:numPr>
          <w:ilvl w:val="0"/>
          <w:numId w:val="2"/>
        </w:numPr>
      </w:pPr>
      <w:r>
        <w:t xml:space="preserve">CO — carbon monoxide concentration (ppm).</w:t>
      </w:r>
    </w:p>
    <w:p>
      <w:pPr>
        <w:pStyle w:val="ListParagraph"/>
        <w:numPr>
          <w:ilvl w:val="0"/>
          <w:numId w:val="2"/>
        </w:numPr>
      </w:pPr>
      <w:r>
        <w:t xml:space="preserve">O3 — ozone concentration.</w:t>
      </w:r>
    </w:p>
    <w:p>
      <w:pPr>
        <w:pStyle w:val="ListParagraph"/>
        <w:numPr>
          <w:ilvl w:val="0"/>
          <w:numId w:val="2"/>
        </w:numPr>
      </w:pPr>
      <w:r>
        <w:t xml:space="preserve">Engineered features (added during preprocessing): Month, DayOfWeek, DayOfYear, IsWeekend (calendar features); AQI_lag1, AQI_lag3_avg, PM2.5_lag1, PM2.5_lag3_avg, PM10_lag1, PM10_lag3_avg (lagged history features used for next-day forecasting).</w:t>
      </w:r>
    </w:p>
    <w:p>
      <w:pPr>
        <w:pStyle w:val="Heading2"/>
      </w:pPr>
      <w:r>
        <w:t xml:space="preserve">4. Data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100"/>
        <w:gridCol w:w="1100"/>
        <w:gridCol w:w="1100"/>
        <w:gridCol w:w="1100"/>
        <w:gridCol w:w="960"/>
      </w:tblGrid>
      <w:tr>
        <w:tc>
          <w:tcPr>
            <w:tcW w:type="dxa" w:w="19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Column</w:t>
            </w:r>
          </w:p>
        </w:tc>
        <w:tc>
          <w:tcPr>
            <w:tcW w:type="dxa" w:w="11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Missing %</w:t>
            </w:r>
          </w:p>
        </w:tc>
        <w:tc>
          <w:tcPr>
            <w:tcW w:type="dxa" w:w="11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Min</w:t>
            </w:r>
          </w:p>
        </w:tc>
        <w:tc>
          <w:tcPr>
            <w:tcW w:type="dxa" w:w="11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Max</w:t>
            </w:r>
          </w:p>
        </w:tc>
        <w:tc>
          <w:tcPr>
            <w:tcW w:type="dxa" w:w="11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Mean</w:t>
            </w:r>
          </w:p>
        </w:tc>
        <w:tc>
          <w:tcPr>
            <w:tcW w:type="dxa" w:w="11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Std Dev</w:t>
            </w:r>
          </w:p>
        </w:tc>
        <w:tc>
          <w:tcPr>
            <w:tcW w:type="dxa" w:w="110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Outliers (n)</w:t>
            </w:r>
          </w:p>
        </w:tc>
        <w:tc>
          <w:tcPr>
            <w:tcW w:type="dxa" w:w="96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Outliers %</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AQI</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0.01</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19.0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494.0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107.59</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75.03</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1003</w:t>
            </w:r>
          </w:p>
        </w:tc>
        <w:tc>
          <w:tcPr>
            <w:tcW w:type="dxa" w:w="96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8.34</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PM2.5</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271.70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59.17</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41.27</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1003</w:t>
            </w:r>
          </w:p>
        </w:tc>
        <w:tc>
          <w:tcPr>
            <w:tcW w:type="dxa" w:w="96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8.34</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PM10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533.52</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116.18</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81.03</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1009</w:t>
            </w:r>
          </w:p>
        </w:tc>
        <w:tc>
          <w:tcPr>
            <w:tcW w:type="dxa" w:w="96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8.39</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NO2</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410.02</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89.29</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62.28</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1003</w:t>
            </w:r>
          </w:p>
        </w:tc>
        <w:tc>
          <w:tcPr>
            <w:tcW w:type="dxa" w:w="96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8.34</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SO2</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563.16</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122.64</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85.54</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1003</w:t>
            </w:r>
          </w:p>
        </w:tc>
        <w:tc>
          <w:tcPr>
            <w:tcW w:type="dxa" w:w="96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8.34</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CO</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5.19</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1.13</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0.79</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1009</w:t>
            </w:r>
          </w:p>
        </w:tc>
        <w:tc>
          <w:tcPr>
            <w:tcW w:type="dxa" w:w="96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8.39</w:t>
            </w:r>
          </w:p>
        </w:tc>
      </w:tr>
      <w:tr>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O3</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0.0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469.30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102.20</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71.28</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1003</w:t>
            </w:r>
          </w:p>
        </w:tc>
        <w:tc>
          <w:tcPr>
            <w:tcW w:type="dxa" w:w="960"/>
            <w:tcBorders>
              <w:top w:val="single" w:color="BFBFBF" w:sz="1"/>
              <w:left w:val="single" w:color="BFBFBF" w:sz="1"/>
              <w:bottom w:val="single" w:color="BFBFBF" w:sz="1"/>
              <w:right w:val="single" w:color="BFBFBF" w:sz="1"/>
            </w:tcBorders>
            <w:tcMar>
              <w:top w:type="dxa" w:w="80"/>
              <w:left w:type="dxa" w:w="100"/>
              <w:bottom w:type="dxa" w:w="80"/>
              <w:right w:type="dxa" w:w="100"/>
            </w:tcMar>
          </w:tcPr>
          <w:p>
            <w:r>
              <w:t xml:space="preserve">8.34</w:t>
            </w:r>
          </w:p>
        </w:tc>
      </w:tr>
    </w:tbl>
    <w:p>
      <w:pPr>
        <w:spacing w:before="200"/>
      </w:pPr>
    </w:p>
    <w:p>
      <w:pPr>
        <w:spacing w:after="160"/>
      </w:pPr>
      <w:r>
        <w:t xml:space="preserve">Missing values were negligible (a single missing AQI record across all 12,042 rows, 0.01%), handled via city-wise forward/backward fill followed by median imputation. Using the IQR method, roughly 8.3-8.4% of records across all pollutant columns were flagged as statistical outliers — consistent with the genuinely heavy-tailed nature of pollution data, where pollution spikes during winter inversion episodes and festival/firework periods (e.g. Delhi post-Diwali) are real events rather than data errors, and were therefore retained rather than removed.</w:t>
      </w:r>
    </w:p>
    <w:p>
      <w:pPr>
        <w:pStyle w:val="Heading2"/>
      </w:pPr>
      <w:r>
        <w:t xml:space="preserve">5. Known Limitation</w:t>
      </w:r>
    </w:p>
    <w:p>
      <w:pPr>
        <w:spacing w:after="160"/>
      </w:pPr>
      <w:r>
        <w:t xml:space="preserve">Because the pollutant columns in this dataset are mathematically derived from the AQI value itself rather than being independently measured, they cannot be used as same-day predictive features without causing target leakage (a model would trivially reconstruct AQI from its own derived inputs). This was identified during baseline model validation and is addressed by using only lagged (previous-day / trailing 3-day average) pollutant and AQI values as model inputs — see the Baseline Model Report for details.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2026-06-21T18:45:28.736Z</dcterms:created>
  <dcterms:modified xsi:type="dcterms:W3CDTF">2026-06-21T18:45:28.737Z</dcterms:modified>
</cp:coreProperties>
</file>

<file path=docProps/custom.xml><?xml version="1.0" encoding="utf-8"?>
<Properties xmlns="http://schemas.openxmlformats.org/officeDocument/2006/custom-properties" xmlns:vt="http://schemas.openxmlformats.org/officeDocument/2006/docPropsVTypes"/>
</file>