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2D63" w14:textId="3E8C0602" w:rsidR="00671E73" w:rsidRPr="00C1193E" w:rsidRDefault="00A65FDB">
      <w:pPr>
        <w:jc w:val="center"/>
        <w:rPr>
          <w:sz w:val="36"/>
          <w:szCs w:val="36"/>
        </w:rPr>
      </w:pPr>
      <w:r w:rsidRPr="00C1193E">
        <w:rPr>
          <w:b/>
          <w:sz w:val="36"/>
          <w:szCs w:val="36"/>
        </w:rPr>
        <w:t>Biotechniques Course: Fundamentals &amp; Applications</w:t>
      </w:r>
      <w:r w:rsidRPr="00C1193E">
        <w:rPr>
          <w:b/>
          <w:sz w:val="36"/>
          <w:szCs w:val="36"/>
        </w:rPr>
        <w:br/>
      </w:r>
    </w:p>
    <w:p w14:paraId="2861D696" w14:textId="77777777" w:rsidR="00671E73" w:rsidRDefault="00A65FDB">
      <w:pPr>
        <w:pStyle w:val="Heading1"/>
      </w:pPr>
      <w:r w:rsidRPr="002A2F9A">
        <w:rPr>
          <w:color w:val="000000" w:themeColor="text1"/>
        </w:rPr>
        <w:t>1. Math Application: Converting RCF to RPM</w:t>
      </w:r>
    </w:p>
    <w:p w14:paraId="4C720119" w14:textId="77777777" w:rsidR="00671E73" w:rsidRDefault="00A65FDB">
      <w:r>
        <w:t>T</w:t>
      </w:r>
      <w:r>
        <w:t>he protocol requires the sample to be centrifuged at 12,000 × g for 15 minutes. The available centrifuge has a fixed-angle rotor with a maximum radius of 8.5 cm.</w:t>
      </w:r>
    </w:p>
    <w:p w14:paraId="4CA0F64C" w14:textId="77777777" w:rsidR="00671E73" w:rsidRDefault="00A65FDB">
      <w:r>
        <w:rPr>
          <w:b/>
        </w:rPr>
        <w:t>Given:</w:t>
      </w:r>
      <w:r>
        <w:rPr>
          <w:b/>
        </w:rPr>
        <w:br/>
      </w:r>
      <w:r>
        <w:t>Required RCF = 12,000 × g</w:t>
      </w:r>
      <w:r>
        <w:br/>
        <w:t>Rotor radius (r) = 8.5 cm</w:t>
      </w:r>
      <w:r>
        <w:br/>
        <w:t>Time = 15 minutes</w:t>
      </w:r>
    </w:p>
    <w:p w14:paraId="56158FC2" w14:textId="77777777" w:rsidR="00671E73" w:rsidRDefault="00A65FDB">
      <w:r>
        <w:rPr>
          <w:b/>
        </w:rPr>
        <w:t>Formula:</w:t>
      </w:r>
      <w:r>
        <w:rPr>
          <w:b/>
        </w:rPr>
        <w:br/>
      </w:r>
      <w:r>
        <w:t>RCF = 1.118 × 10⁻⁵ × r × RPM²</w:t>
      </w:r>
    </w:p>
    <w:p w14:paraId="1438F0A1" w14:textId="77777777" w:rsidR="00671E73" w:rsidRDefault="00A65FDB">
      <w:r>
        <w:rPr>
          <w:b/>
        </w:rPr>
        <w:t>Rearranging the formula:</w:t>
      </w:r>
      <w:r>
        <w:rPr>
          <w:b/>
        </w:rPr>
        <w:br/>
      </w:r>
      <w:r>
        <w:t>RPM = √[RCF / (1.118 × 10⁻⁵ × r)]</w:t>
      </w:r>
    </w:p>
    <w:p w14:paraId="6773FA39" w14:textId="77777777" w:rsidR="00671E73" w:rsidRDefault="00A65FDB">
      <w:r>
        <w:rPr>
          <w:b/>
        </w:rPr>
        <w:t>Substitution:</w:t>
      </w:r>
      <w:r>
        <w:rPr>
          <w:b/>
        </w:rPr>
        <w:br/>
      </w:r>
      <w:r>
        <w:t>RPM = √[12,000 / (1.118 × 10⁻⁵ × 8.5)]</w:t>
      </w:r>
    </w:p>
    <w:p w14:paraId="67533D36" w14:textId="77777777" w:rsidR="00671E73" w:rsidRDefault="00A65FDB">
      <w:r>
        <w:rPr>
          <w:b/>
        </w:rPr>
        <w:t>Calculation:</w:t>
      </w:r>
      <w:r>
        <w:rPr>
          <w:b/>
        </w:rPr>
        <w:br/>
      </w:r>
      <w:r>
        <w:t>RPM = √(12,000 / 0.00009503)</w:t>
      </w:r>
      <w:r>
        <w:br/>
        <w:t>RPM ≈ 11237.26</w:t>
      </w:r>
    </w:p>
    <w:p w14:paraId="7F603F05" w14:textId="77777777" w:rsidR="00671E73" w:rsidRDefault="00A65FDB">
      <w:r>
        <w:rPr>
          <w:b/>
        </w:rPr>
        <w:t xml:space="preserve">Final answer: </w:t>
      </w:r>
      <w:r>
        <w:t>The centrifuge should be set to approximately 11,237 RPM to generate 12,000 × g at a rotor radius of 8.5 cm.</w:t>
      </w:r>
    </w:p>
    <w:p w14:paraId="08568E89" w14:textId="77777777" w:rsidR="00671E73" w:rsidRPr="0030767D" w:rsidRDefault="00A65FDB">
      <w:pPr>
        <w:pStyle w:val="Heading1"/>
        <w:rPr>
          <w:color w:val="000000" w:themeColor="text1"/>
        </w:rPr>
      </w:pPr>
      <w:r w:rsidRPr="0030767D">
        <w:rPr>
          <w:color w:val="000000" w:themeColor="text1"/>
        </w:rPr>
        <w:t>2. Protocol Design: Differential Centrifugation of Liver Tissue</w:t>
      </w:r>
    </w:p>
    <w:p w14:paraId="7BA6CA93" w14:textId="77777777" w:rsidR="00671E73" w:rsidRDefault="00A65FDB">
      <w:r>
        <w:t>Objective: To obtain an enriched fraction of intact mitochondria from fresh liver tissue. The strategy follows the differential centrifugation principle presented in the course: successively increasing centrifugal forces pellet progressively smaller cellular structures.</w:t>
      </w:r>
    </w:p>
    <w:p w14:paraId="48B65B12" w14:textId="77777777" w:rsidR="00671E73" w:rsidRDefault="00A65FDB">
      <w:r>
        <w:t>The g-forces below are practical estimated values for a teaching-level workflow rather than a single universal protocol. Exact conditions depend on tissue homogenization, rotor, buffer, centrifuge, temperature, and the desired mitochondrial purity.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671E73" w14:paraId="01710630" w14:textId="77777777">
        <w:trPr>
          <w:jc w:val="center"/>
        </w:trPr>
        <w:tc>
          <w:tcPr>
            <w:tcW w:w="10080" w:type="dxa"/>
            <w:vAlign w:val="center"/>
          </w:tcPr>
          <w:p w14:paraId="16D08A26" w14:textId="77777777" w:rsidR="00671E73" w:rsidRDefault="00A65FDB">
            <w:pPr>
              <w:jc w:val="center"/>
            </w:pPr>
            <w:r>
              <w:rPr>
                <w:b/>
              </w:rPr>
              <w:t>FRESH LIVER TISSUE</w:t>
            </w:r>
          </w:p>
          <w:p w14:paraId="595087A7" w14:textId="77777777" w:rsidR="00671E73" w:rsidRDefault="00A65FDB">
            <w:pPr>
              <w:jc w:val="center"/>
            </w:pPr>
            <w:r>
              <w:t>Keep the tissue cold and remove obvious connective tissue.</w:t>
            </w:r>
          </w:p>
        </w:tc>
      </w:tr>
      <w:tr w:rsidR="00671E73" w14:paraId="6F45B105" w14:textId="77777777">
        <w:trPr>
          <w:jc w:val="center"/>
        </w:trPr>
        <w:tc>
          <w:tcPr>
            <w:tcW w:w="10080" w:type="dxa"/>
            <w:vAlign w:val="center"/>
          </w:tcPr>
          <w:p w14:paraId="6806FDDB" w14:textId="77777777" w:rsidR="00671E73" w:rsidRDefault="00A65FDB">
            <w:pPr>
              <w:jc w:val="center"/>
            </w:pPr>
            <w:r>
              <w:rPr>
                <w:b/>
                <w:sz w:val="32"/>
              </w:rPr>
              <w:t>↓</w:t>
            </w:r>
          </w:p>
        </w:tc>
      </w:tr>
      <w:tr w:rsidR="00671E73" w14:paraId="4A82A831" w14:textId="77777777">
        <w:trPr>
          <w:jc w:val="center"/>
        </w:trPr>
        <w:tc>
          <w:tcPr>
            <w:tcW w:w="10080" w:type="dxa"/>
            <w:vAlign w:val="center"/>
          </w:tcPr>
          <w:p w14:paraId="5FA4F8C9" w14:textId="77777777" w:rsidR="00671E73" w:rsidRDefault="00A65FDB">
            <w:pPr>
              <w:jc w:val="center"/>
            </w:pPr>
            <w:r>
              <w:rPr>
                <w:b/>
              </w:rPr>
              <w:t>HOMOGENIZE GENTLY IN COLD ISOTONIC BUFFER</w:t>
            </w:r>
          </w:p>
          <w:p w14:paraId="56E92D7B" w14:textId="77777777" w:rsidR="00671E73" w:rsidRDefault="00A65FDB">
            <w:pPr>
              <w:jc w:val="center"/>
            </w:pPr>
            <w:r>
              <w:t>Break cells while minimizing mechanical damage to mitochondria.</w:t>
            </w:r>
          </w:p>
        </w:tc>
      </w:tr>
      <w:tr w:rsidR="00671E73" w14:paraId="3F1A1D5B" w14:textId="77777777">
        <w:trPr>
          <w:jc w:val="center"/>
        </w:trPr>
        <w:tc>
          <w:tcPr>
            <w:tcW w:w="10080" w:type="dxa"/>
            <w:vAlign w:val="center"/>
          </w:tcPr>
          <w:p w14:paraId="117B37D8" w14:textId="77777777" w:rsidR="00671E73" w:rsidRDefault="00A65FDB">
            <w:pPr>
              <w:jc w:val="center"/>
            </w:pPr>
            <w:r>
              <w:rPr>
                <w:b/>
                <w:sz w:val="32"/>
              </w:rPr>
              <w:t>↓</w:t>
            </w:r>
          </w:p>
        </w:tc>
      </w:tr>
      <w:tr w:rsidR="00671E73" w14:paraId="418B28BC" w14:textId="77777777">
        <w:trPr>
          <w:jc w:val="center"/>
        </w:trPr>
        <w:tc>
          <w:tcPr>
            <w:tcW w:w="10080" w:type="dxa"/>
            <w:vAlign w:val="center"/>
          </w:tcPr>
          <w:p w14:paraId="67E4F543" w14:textId="77777777" w:rsidR="00671E73" w:rsidRDefault="00A65FDB">
            <w:pPr>
              <w:jc w:val="center"/>
            </w:pPr>
            <w:r>
              <w:rPr>
                <w:b/>
              </w:rPr>
              <w:t>LOW-SPEED SPIN</w:t>
            </w:r>
            <w:r>
              <w:rPr>
                <w:b/>
              </w:rPr>
              <w:br/>
              <w:t>~600 × g, 10 min</w:t>
            </w:r>
          </w:p>
          <w:p w14:paraId="55A1F6F0" w14:textId="77777777" w:rsidR="00671E73" w:rsidRDefault="00A65FDB">
            <w:pPr>
              <w:jc w:val="center"/>
            </w:pPr>
            <w:r>
              <w:lastRenderedPageBreak/>
              <w:t>Pellet unbroken cells, connective tissue, and nuclei.</w:t>
            </w:r>
            <w:r>
              <w:br/>
              <w:t>KEEP THE SUPERNATANT.</w:t>
            </w:r>
          </w:p>
        </w:tc>
      </w:tr>
      <w:tr w:rsidR="00671E73" w14:paraId="17F2E58F" w14:textId="77777777">
        <w:trPr>
          <w:jc w:val="center"/>
        </w:trPr>
        <w:tc>
          <w:tcPr>
            <w:tcW w:w="10080" w:type="dxa"/>
            <w:vAlign w:val="center"/>
          </w:tcPr>
          <w:p w14:paraId="12A67C15" w14:textId="77777777" w:rsidR="00671E73" w:rsidRDefault="00A65FDB">
            <w:pPr>
              <w:jc w:val="center"/>
            </w:pPr>
            <w:r>
              <w:rPr>
                <w:b/>
                <w:sz w:val="32"/>
              </w:rPr>
              <w:lastRenderedPageBreak/>
              <w:t>↓</w:t>
            </w:r>
          </w:p>
        </w:tc>
      </w:tr>
      <w:tr w:rsidR="00671E73" w14:paraId="3DF3AE58" w14:textId="77777777">
        <w:trPr>
          <w:jc w:val="center"/>
        </w:trPr>
        <w:tc>
          <w:tcPr>
            <w:tcW w:w="10080" w:type="dxa"/>
            <w:vAlign w:val="center"/>
          </w:tcPr>
          <w:p w14:paraId="5C5D4DB4" w14:textId="77777777" w:rsidR="00671E73" w:rsidRDefault="00A65FDB">
            <w:pPr>
              <w:jc w:val="center"/>
            </w:pPr>
            <w:r>
              <w:rPr>
                <w:b/>
              </w:rPr>
              <w:t>TRANSFER SUPERNATANT</w:t>
            </w:r>
          </w:p>
          <w:p w14:paraId="027AD96C" w14:textId="77777777" w:rsidR="00671E73" w:rsidRDefault="00A65FDB">
            <w:pPr>
              <w:jc w:val="center"/>
            </w:pPr>
            <w:r>
              <w:t>Move the supernatant carefully to a clean, chilled tube without disturbing the pellet.</w:t>
            </w:r>
          </w:p>
        </w:tc>
      </w:tr>
      <w:tr w:rsidR="00671E73" w14:paraId="2F398B72" w14:textId="77777777">
        <w:trPr>
          <w:jc w:val="center"/>
        </w:trPr>
        <w:tc>
          <w:tcPr>
            <w:tcW w:w="10080" w:type="dxa"/>
            <w:vAlign w:val="center"/>
          </w:tcPr>
          <w:p w14:paraId="487442F5" w14:textId="77777777" w:rsidR="00671E73" w:rsidRDefault="00A65FDB">
            <w:pPr>
              <w:jc w:val="center"/>
            </w:pPr>
            <w:r>
              <w:rPr>
                <w:b/>
                <w:sz w:val="32"/>
              </w:rPr>
              <w:t>↓</w:t>
            </w:r>
          </w:p>
        </w:tc>
      </w:tr>
      <w:tr w:rsidR="00671E73" w14:paraId="61303370" w14:textId="77777777">
        <w:trPr>
          <w:jc w:val="center"/>
        </w:trPr>
        <w:tc>
          <w:tcPr>
            <w:tcW w:w="10080" w:type="dxa"/>
            <w:vAlign w:val="center"/>
          </w:tcPr>
          <w:p w14:paraId="4DA7511B" w14:textId="77777777" w:rsidR="00671E73" w:rsidRDefault="00A65FDB">
            <w:pPr>
              <w:jc w:val="center"/>
            </w:pPr>
            <w:r>
              <w:rPr>
                <w:b/>
              </w:rPr>
              <w:t>MEDIUM-SPEED SPIN</w:t>
            </w:r>
            <w:r>
              <w:rPr>
                <w:b/>
              </w:rPr>
              <w:br/>
              <w:t>~7,000–10,000 × g, 10–15 min</w:t>
            </w:r>
          </w:p>
          <w:p w14:paraId="26DF5798" w14:textId="77777777" w:rsidR="00671E73" w:rsidRDefault="00A65FDB">
            <w:pPr>
              <w:jc w:val="center"/>
            </w:pPr>
            <w:r>
              <w:t>Pellet the mitochondrial-enriched fraction together with some other organelles.</w:t>
            </w:r>
            <w:r>
              <w:br/>
              <w:t>KEEP THE PELLET.</w:t>
            </w:r>
          </w:p>
        </w:tc>
      </w:tr>
      <w:tr w:rsidR="00671E73" w14:paraId="519A3639" w14:textId="77777777">
        <w:trPr>
          <w:jc w:val="center"/>
        </w:trPr>
        <w:tc>
          <w:tcPr>
            <w:tcW w:w="10080" w:type="dxa"/>
            <w:vAlign w:val="center"/>
          </w:tcPr>
          <w:p w14:paraId="11324BFF" w14:textId="77777777" w:rsidR="00671E73" w:rsidRDefault="00A65FDB">
            <w:pPr>
              <w:jc w:val="center"/>
            </w:pPr>
            <w:r>
              <w:rPr>
                <w:b/>
                <w:sz w:val="32"/>
              </w:rPr>
              <w:t>↓</w:t>
            </w:r>
          </w:p>
        </w:tc>
      </w:tr>
      <w:tr w:rsidR="00671E73" w14:paraId="5E6084A6" w14:textId="77777777">
        <w:trPr>
          <w:jc w:val="center"/>
        </w:trPr>
        <w:tc>
          <w:tcPr>
            <w:tcW w:w="10080" w:type="dxa"/>
            <w:vAlign w:val="center"/>
          </w:tcPr>
          <w:p w14:paraId="241F1894" w14:textId="77777777" w:rsidR="00671E73" w:rsidRDefault="00A65FDB">
            <w:pPr>
              <w:jc w:val="center"/>
            </w:pPr>
            <w:r>
              <w:rPr>
                <w:b/>
              </w:rPr>
              <w:t>WASH MITOCHONDRIAL PELLET</w:t>
            </w:r>
            <w:r>
              <w:rPr>
                <w:b/>
              </w:rPr>
              <w:br/>
              <w:t>~7,000 × g, 10 min</w:t>
            </w:r>
          </w:p>
          <w:p w14:paraId="57FEA082" w14:textId="77777777" w:rsidR="00671E73" w:rsidRDefault="00A65FDB">
            <w:pPr>
              <w:jc w:val="center"/>
            </w:pPr>
            <w:r>
              <w:t>Resuspend gently in cold buffer and centrifuge again to reduce contamination.</w:t>
            </w:r>
          </w:p>
        </w:tc>
      </w:tr>
      <w:tr w:rsidR="00671E73" w14:paraId="6BE30D7A" w14:textId="77777777">
        <w:trPr>
          <w:jc w:val="center"/>
        </w:trPr>
        <w:tc>
          <w:tcPr>
            <w:tcW w:w="10080" w:type="dxa"/>
            <w:vAlign w:val="center"/>
          </w:tcPr>
          <w:p w14:paraId="37CDC3F3" w14:textId="77777777" w:rsidR="00671E73" w:rsidRDefault="00A65FDB">
            <w:pPr>
              <w:jc w:val="center"/>
            </w:pPr>
            <w:r>
              <w:rPr>
                <w:b/>
                <w:sz w:val="32"/>
              </w:rPr>
              <w:t>↓</w:t>
            </w:r>
          </w:p>
        </w:tc>
      </w:tr>
      <w:tr w:rsidR="00671E73" w14:paraId="48452E49" w14:textId="77777777">
        <w:trPr>
          <w:jc w:val="center"/>
        </w:trPr>
        <w:tc>
          <w:tcPr>
            <w:tcW w:w="10080" w:type="dxa"/>
            <w:vAlign w:val="center"/>
          </w:tcPr>
          <w:p w14:paraId="0088F71D" w14:textId="77777777" w:rsidR="00671E73" w:rsidRDefault="00A65FDB">
            <w:pPr>
              <w:jc w:val="center"/>
            </w:pPr>
            <w:r>
              <w:rPr>
                <w:b/>
              </w:rPr>
              <w:t>MITOCHONDRIA-ENRICHED FRACTION</w:t>
            </w:r>
          </w:p>
          <w:p w14:paraId="217CB554" w14:textId="77777777" w:rsidR="00671E73" w:rsidRDefault="00A65FDB">
            <w:pPr>
              <w:jc w:val="center"/>
            </w:pPr>
            <w:r>
              <w:t>Resuspend the final pellet gently in an appropriate cold buffer for downstream analysis.</w:t>
            </w:r>
          </w:p>
        </w:tc>
      </w:tr>
    </w:tbl>
    <w:p w14:paraId="210D7289" w14:textId="77777777" w:rsidR="00671E73" w:rsidRDefault="00671E73"/>
    <w:p w14:paraId="1BEFC2FF" w14:textId="77777777" w:rsidR="00671E73" w:rsidRPr="0030767D" w:rsidRDefault="00A65FDB">
      <w:pPr>
        <w:pStyle w:val="Heading2"/>
        <w:rPr>
          <w:color w:val="000000" w:themeColor="text1"/>
        </w:rPr>
      </w:pPr>
      <w:r w:rsidRPr="0030767D">
        <w:rPr>
          <w:color w:val="000000" w:themeColor="text1"/>
        </w:rPr>
        <w:t>Why this sequence works</w:t>
      </w:r>
    </w:p>
    <w:p w14:paraId="58186037" w14:textId="77777777" w:rsidR="00671E73" w:rsidRDefault="00A65FDB">
      <w:r>
        <w:t>The first low-speed centrifugation removes the largest structures, especially nuclei and unbroken cells. The resulting supernatant still contains smaller organelles. A subsequent higher-speed centrifugation pellets mitochondria because they sediment faster than many smaller components. The final wash improves the enrichment by removing material that remains in the supernatant.</w:t>
      </w:r>
    </w:p>
    <w:p w14:paraId="3A3004EF" w14:textId="77777777" w:rsidR="00671E73" w:rsidRPr="0030767D" w:rsidRDefault="00A65FDB">
      <w:pPr>
        <w:pStyle w:val="Heading1"/>
        <w:rPr>
          <w:color w:val="000000" w:themeColor="text1"/>
        </w:rPr>
      </w:pPr>
      <w:r w:rsidRPr="0030767D">
        <w:rPr>
          <w:color w:val="000000" w:themeColor="text1"/>
        </w:rPr>
        <w:t>3</w:t>
      </w:r>
      <w:r>
        <w:t xml:space="preserve">. </w:t>
      </w:r>
      <w:r w:rsidRPr="0030767D">
        <w:rPr>
          <w:color w:val="000000" w:themeColor="text1"/>
        </w:rPr>
        <w:t>Research: Clinical Application of Density-Gradient Centrifugation</w:t>
      </w:r>
    </w:p>
    <w:p w14:paraId="5F3A0E54" w14:textId="77777777" w:rsidR="00671E73" w:rsidRDefault="00A65FDB">
      <w:r>
        <w:t xml:space="preserve">One real-world clinical and translational application is the isolation of peripheral blood mononuclear cells (PBMCs) from human blood using Ficoll-based density-gradient centrifugation. Anticoagulated blood is layered over Ficoll, a density-gradient medium, and centrifuged so that erythrocytes and granulocytes move through the gradient while the less-dense mononuclear cells form a distinct layer at the plasma–Ficoll interface; the PBMC layer is then collected and washed. PBMC isolation is routinely used as </w:t>
      </w:r>
      <w:r>
        <w:t>a preparation step for human immune-cell studies and clinical research, including downstream cellular and flow-cytometric analyses.</w:t>
      </w:r>
    </w:p>
    <w:p w14:paraId="51448D9F" w14:textId="6DAE57BA" w:rsidR="00671E73" w:rsidRPr="0030767D" w:rsidRDefault="00A65FDB">
      <w:pPr>
        <w:pStyle w:val="Heading2"/>
        <w:rPr>
          <w:color w:val="000000" w:themeColor="text1"/>
        </w:rPr>
      </w:pPr>
      <w:r w:rsidRPr="0030767D">
        <w:rPr>
          <w:color w:val="000000" w:themeColor="text1"/>
        </w:rPr>
        <w:t>Clinical Application –</w:t>
      </w:r>
    </w:p>
    <w:p w14:paraId="4DF9F62F" w14:textId="77777777" w:rsidR="00671E73" w:rsidRDefault="00A65FDB">
      <w:r>
        <w:t>Ficoll density-gradient centrifugation is used to isolate peripheral blood mononuclear cells (PBMCs), such as lymphocytes and monocytes, from human blood. During centrifugation, blood components separate according to density, leaving PBMCs as a visible layer at the plasma–Ficoll interface while denser cells move downward. The recovered PBMCs can then be washed and used for immune-cell analysis, including flow cytometry and other clinical research assays.</w:t>
      </w:r>
    </w:p>
    <w:p w14:paraId="096658B9" w14:textId="77777777" w:rsidR="00671E73" w:rsidRPr="0030767D" w:rsidRDefault="00A65FDB">
      <w:pPr>
        <w:pStyle w:val="Heading1"/>
        <w:rPr>
          <w:color w:val="000000" w:themeColor="text1"/>
        </w:rPr>
      </w:pPr>
      <w:r w:rsidRPr="0030767D">
        <w:rPr>
          <w:color w:val="000000" w:themeColor="text1"/>
        </w:rPr>
        <w:t>4. Final Answers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671E73" w14:paraId="4810852D" w14:textId="77777777">
        <w:trPr>
          <w:jc w:val="center"/>
        </w:trPr>
        <w:tc>
          <w:tcPr>
            <w:tcW w:w="5040" w:type="dxa"/>
          </w:tcPr>
          <w:p w14:paraId="3666570C" w14:textId="77777777" w:rsidR="00671E73" w:rsidRDefault="00A65FDB">
            <w:r>
              <w:rPr>
                <w:b/>
              </w:rPr>
              <w:t>Exercise</w:t>
            </w:r>
          </w:p>
        </w:tc>
        <w:tc>
          <w:tcPr>
            <w:tcW w:w="5040" w:type="dxa"/>
          </w:tcPr>
          <w:p w14:paraId="0F2636C9" w14:textId="77777777" w:rsidR="00671E73" w:rsidRDefault="00A65FDB">
            <w:r>
              <w:rPr>
                <w:b/>
              </w:rPr>
              <w:t>Final Answer</w:t>
            </w:r>
          </w:p>
        </w:tc>
      </w:tr>
      <w:tr w:rsidR="00671E73" w14:paraId="51561E0B" w14:textId="77777777">
        <w:trPr>
          <w:jc w:val="center"/>
        </w:trPr>
        <w:tc>
          <w:tcPr>
            <w:tcW w:w="5040" w:type="dxa"/>
          </w:tcPr>
          <w:p w14:paraId="3CD1E61D" w14:textId="77777777" w:rsidR="00671E73" w:rsidRDefault="00A65FDB">
            <w:r>
              <w:t>Math Application</w:t>
            </w:r>
          </w:p>
        </w:tc>
        <w:tc>
          <w:tcPr>
            <w:tcW w:w="5040" w:type="dxa"/>
          </w:tcPr>
          <w:p w14:paraId="5B75CD69" w14:textId="77777777" w:rsidR="00671E73" w:rsidRDefault="00A65FDB">
            <w:r>
              <w:t>≈ 11,237 RPM is required to generate 12,000 × g at r = 8.5 cm.</w:t>
            </w:r>
          </w:p>
        </w:tc>
      </w:tr>
      <w:tr w:rsidR="00671E73" w14:paraId="692F5F6D" w14:textId="77777777">
        <w:trPr>
          <w:jc w:val="center"/>
        </w:trPr>
        <w:tc>
          <w:tcPr>
            <w:tcW w:w="5040" w:type="dxa"/>
          </w:tcPr>
          <w:p w14:paraId="6FCB7139" w14:textId="77777777" w:rsidR="00671E73" w:rsidRDefault="00A65FDB">
            <w:r>
              <w:lastRenderedPageBreak/>
              <w:t>Differential Centrifugation</w:t>
            </w:r>
          </w:p>
        </w:tc>
        <w:tc>
          <w:tcPr>
            <w:tcW w:w="5040" w:type="dxa"/>
          </w:tcPr>
          <w:p w14:paraId="6AC380C1" w14:textId="77777777" w:rsidR="00671E73" w:rsidRDefault="00A65FDB">
            <w:r>
              <w:t>Low-speed clarification → retain supernatant → medium-speed mitochondrial pellet → wash → mitochondria-enriched fraction.</w:t>
            </w:r>
          </w:p>
        </w:tc>
      </w:tr>
      <w:tr w:rsidR="00671E73" w14:paraId="4C36BE4E" w14:textId="77777777">
        <w:trPr>
          <w:jc w:val="center"/>
        </w:trPr>
        <w:tc>
          <w:tcPr>
            <w:tcW w:w="5040" w:type="dxa"/>
          </w:tcPr>
          <w:p w14:paraId="596CC757" w14:textId="77777777" w:rsidR="00671E73" w:rsidRDefault="00A65FDB">
            <w:r>
              <w:t>Clinical Density Gradient</w:t>
            </w:r>
          </w:p>
        </w:tc>
        <w:tc>
          <w:tcPr>
            <w:tcW w:w="5040" w:type="dxa"/>
          </w:tcPr>
          <w:p w14:paraId="3D284047" w14:textId="77777777" w:rsidR="00671E73" w:rsidRDefault="00A65FDB">
            <w:r>
              <w:t>Ficoll-based density-gradient centrifugation for isolation of human PBMCs from whole blood.</w:t>
            </w:r>
          </w:p>
        </w:tc>
      </w:tr>
    </w:tbl>
    <w:p w14:paraId="503EA004" w14:textId="54686471" w:rsidR="00671E73" w:rsidRDefault="00671E73" w:rsidP="0030767D">
      <w:pPr>
        <w:pStyle w:val="Heading1"/>
      </w:pPr>
    </w:p>
    <w:sectPr w:rsidR="00671E7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1832954">
    <w:abstractNumId w:val="8"/>
  </w:num>
  <w:num w:numId="2" w16cid:durableId="477386362">
    <w:abstractNumId w:val="6"/>
  </w:num>
  <w:num w:numId="3" w16cid:durableId="1959143903">
    <w:abstractNumId w:val="5"/>
  </w:num>
  <w:num w:numId="4" w16cid:durableId="998310820">
    <w:abstractNumId w:val="4"/>
  </w:num>
  <w:num w:numId="5" w16cid:durableId="1763257642">
    <w:abstractNumId w:val="7"/>
  </w:num>
  <w:num w:numId="6" w16cid:durableId="800919554">
    <w:abstractNumId w:val="3"/>
  </w:num>
  <w:num w:numId="7" w16cid:durableId="2038579092">
    <w:abstractNumId w:val="2"/>
  </w:num>
  <w:num w:numId="8" w16cid:durableId="1393501454">
    <w:abstractNumId w:val="1"/>
  </w:num>
  <w:num w:numId="9" w16cid:durableId="193770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6709"/>
    <w:rsid w:val="0029639D"/>
    <w:rsid w:val="002A2F9A"/>
    <w:rsid w:val="0030767D"/>
    <w:rsid w:val="00326F90"/>
    <w:rsid w:val="00374224"/>
    <w:rsid w:val="00671E73"/>
    <w:rsid w:val="00A65FDB"/>
    <w:rsid w:val="00AA1D8D"/>
    <w:rsid w:val="00B47730"/>
    <w:rsid w:val="00C119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B12EC"/>
  <w14:defaultImageDpi w14:val="300"/>
  <w15:docId w15:val="{A377E8C4-B1B1-426C-8CAA-A11913BBB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rushika unde</cp:lastModifiedBy>
  <cp:revision>2</cp:revision>
  <dcterms:created xsi:type="dcterms:W3CDTF">2026-09-26T12:03:00Z</dcterms:created>
  <dcterms:modified xsi:type="dcterms:W3CDTF">2026-09-26T12:03:00Z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1e08b8d5-5f7d-4e7c-8efb-c1a47a0b7a49</vt:lpwstr>
  </property>
</Properties>
</file>