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34F9" w14:textId="77777777" w:rsidR="00DD4FA0" w:rsidRDefault="00000000">
      <w:pPr>
        <w:jc w:val="center"/>
      </w:pPr>
      <w:r>
        <w:rPr>
          <w:b/>
          <w:sz w:val="40"/>
        </w:rPr>
        <w:t>PCR &amp; Electrophoresis Homework</w:t>
      </w:r>
    </w:p>
    <w:p w14:paraId="4A8D359C" w14:textId="77777777" w:rsidR="00DD4FA0" w:rsidRDefault="00DD4FA0"/>
    <w:p w14:paraId="264E8B3F" w14:textId="77777777" w:rsidR="00DD4FA0" w:rsidRPr="00471EDB" w:rsidRDefault="00000000">
      <w:pPr>
        <w:pStyle w:val="Heading1"/>
        <w:rPr>
          <w:color w:val="000000" w:themeColor="text1"/>
        </w:rPr>
      </w:pPr>
      <w:r w:rsidRPr="00471EDB">
        <w:rPr>
          <w:color w:val="000000" w:themeColor="text1"/>
        </w:rPr>
        <w:t>Scenario</w:t>
      </w:r>
    </w:p>
    <w:p w14:paraId="2E40C71B" w14:textId="77777777" w:rsidR="00DD4FA0" w:rsidRDefault="00000000">
      <w:r>
        <w:t>The aim is to determine whether a patient carries a specific mutation associated with a metabolic disorder. PCR is used to amplify the target gene region, and agarose gel electrophoresis is used to check for the expected 450 base-pair (bp) DNA fragment.</w:t>
      </w:r>
    </w:p>
    <w:p w14:paraId="06231AC6" w14:textId="77777777" w:rsidR="00DD4FA0" w:rsidRPr="00471EDB" w:rsidRDefault="00000000">
      <w:pPr>
        <w:pStyle w:val="Heading1"/>
        <w:rPr>
          <w:color w:val="000000" w:themeColor="text1"/>
        </w:rPr>
      </w:pPr>
      <w:r w:rsidRPr="00471EDB">
        <w:rPr>
          <w:color w:val="000000" w:themeColor="text1"/>
        </w:rPr>
        <w:t>Part 1: The PCR Mix</w:t>
      </w:r>
    </w:p>
    <w:p w14:paraId="0BC6C7BE" w14:textId="77777777" w:rsidR="00DD4FA0" w:rsidRDefault="00000000">
      <w:r>
        <w:t>The following five essential components must be included in the PCR reaction tube:</w:t>
      </w:r>
    </w:p>
    <w:tbl>
      <w:tblPr>
        <w:tblStyle w:val="TableGrid"/>
        <w:tblW w:w="0" w:type="auto"/>
        <w:jc w:val="center"/>
        <w:tblLook w:val="04A0" w:firstRow="1" w:lastRow="0" w:firstColumn="1" w:lastColumn="0" w:noHBand="0" w:noVBand="1"/>
      </w:tblPr>
      <w:tblGrid>
        <w:gridCol w:w="5035"/>
        <w:gridCol w:w="5035"/>
      </w:tblGrid>
      <w:tr w:rsidR="00DD4FA0" w14:paraId="33EC287A" w14:textId="77777777">
        <w:trPr>
          <w:jc w:val="center"/>
        </w:trPr>
        <w:tc>
          <w:tcPr>
            <w:tcW w:w="5040" w:type="dxa"/>
            <w:shd w:val="clear" w:color="auto" w:fill="D9EAF7"/>
          </w:tcPr>
          <w:p w14:paraId="63E98522" w14:textId="77777777" w:rsidR="00DD4FA0" w:rsidRDefault="00000000">
            <w:r>
              <w:rPr>
                <w:b/>
              </w:rPr>
              <w:t>Component</w:t>
            </w:r>
          </w:p>
        </w:tc>
        <w:tc>
          <w:tcPr>
            <w:tcW w:w="5040" w:type="dxa"/>
            <w:shd w:val="clear" w:color="auto" w:fill="D9EAF7"/>
          </w:tcPr>
          <w:p w14:paraId="10A563A3" w14:textId="77777777" w:rsidR="00DD4FA0" w:rsidRDefault="00000000">
            <w:r>
              <w:rPr>
                <w:b/>
              </w:rPr>
              <w:t>Specific function</w:t>
            </w:r>
          </w:p>
        </w:tc>
      </w:tr>
      <w:tr w:rsidR="00DD4FA0" w14:paraId="01F5277B" w14:textId="77777777">
        <w:trPr>
          <w:jc w:val="center"/>
        </w:trPr>
        <w:tc>
          <w:tcPr>
            <w:tcW w:w="5040" w:type="dxa"/>
            <w:vAlign w:val="center"/>
          </w:tcPr>
          <w:p w14:paraId="05D99602" w14:textId="77777777" w:rsidR="00DD4FA0" w:rsidRDefault="00000000">
            <w:r>
              <w:t>1. Patient DNA template</w:t>
            </w:r>
          </w:p>
        </w:tc>
        <w:tc>
          <w:tcPr>
            <w:tcW w:w="5040" w:type="dxa"/>
            <w:vAlign w:val="center"/>
          </w:tcPr>
          <w:p w14:paraId="075C7B5C" w14:textId="77777777" w:rsidR="00DD4FA0" w:rsidRDefault="00000000">
            <w:r>
              <w:t>Contains the target DNA region that may carry the mutation. It serves as the sequence copied during PCR.</w:t>
            </w:r>
          </w:p>
        </w:tc>
      </w:tr>
      <w:tr w:rsidR="00DD4FA0" w14:paraId="1E3E6222" w14:textId="77777777">
        <w:trPr>
          <w:jc w:val="center"/>
        </w:trPr>
        <w:tc>
          <w:tcPr>
            <w:tcW w:w="5040" w:type="dxa"/>
            <w:vAlign w:val="center"/>
          </w:tcPr>
          <w:p w14:paraId="34F84FDC" w14:textId="77777777" w:rsidR="00DD4FA0" w:rsidRDefault="00000000">
            <w:r>
              <w:t>2. Forward primer</w:t>
            </w:r>
          </w:p>
        </w:tc>
        <w:tc>
          <w:tcPr>
            <w:tcW w:w="5040" w:type="dxa"/>
            <w:vAlign w:val="center"/>
          </w:tcPr>
          <w:p w14:paraId="351C6AEA" w14:textId="77777777" w:rsidR="00DD4FA0" w:rsidRDefault="00000000">
            <w:r>
              <w:t>A short DNA sequence that binds to one side of the target region. It defines the beginning of the DNA fragment to be amplified.</w:t>
            </w:r>
          </w:p>
        </w:tc>
      </w:tr>
      <w:tr w:rsidR="00DD4FA0" w14:paraId="3DA916D8" w14:textId="77777777">
        <w:trPr>
          <w:jc w:val="center"/>
        </w:trPr>
        <w:tc>
          <w:tcPr>
            <w:tcW w:w="5040" w:type="dxa"/>
            <w:vAlign w:val="center"/>
          </w:tcPr>
          <w:p w14:paraId="5A4784FF" w14:textId="77777777" w:rsidR="00DD4FA0" w:rsidRDefault="00000000">
            <w:r>
              <w:t>3. Reverse primer</w:t>
            </w:r>
          </w:p>
        </w:tc>
        <w:tc>
          <w:tcPr>
            <w:tcW w:w="5040" w:type="dxa"/>
            <w:vAlign w:val="center"/>
          </w:tcPr>
          <w:p w14:paraId="04C611E4" w14:textId="77777777" w:rsidR="00DD4FA0" w:rsidRDefault="00000000">
            <w:r>
              <w:t>A short DNA sequence that binds to the opposite DNA strand at the other side of the target region. Together with the forward primer, it defines the end of the amplified fragment.</w:t>
            </w:r>
          </w:p>
        </w:tc>
      </w:tr>
      <w:tr w:rsidR="00DD4FA0" w14:paraId="1081A35A" w14:textId="77777777">
        <w:trPr>
          <w:jc w:val="center"/>
        </w:trPr>
        <w:tc>
          <w:tcPr>
            <w:tcW w:w="5040" w:type="dxa"/>
            <w:vAlign w:val="center"/>
          </w:tcPr>
          <w:p w14:paraId="1ADE2D18" w14:textId="77777777" w:rsidR="00DD4FA0" w:rsidRDefault="00000000">
            <w:r>
              <w:t>4. Thermostable DNA polymerase (for example, Taq polymerase)</w:t>
            </w:r>
          </w:p>
        </w:tc>
        <w:tc>
          <w:tcPr>
            <w:tcW w:w="5040" w:type="dxa"/>
            <w:vAlign w:val="center"/>
          </w:tcPr>
          <w:p w14:paraId="5874B647" w14:textId="77777777" w:rsidR="00DD4FA0" w:rsidRDefault="00000000">
            <w:r>
              <w:t>A heat-stable enzyme that synthesizes new DNA strands by extending from the primers. It survives the repeated high-temperature denaturation steps.</w:t>
            </w:r>
          </w:p>
        </w:tc>
      </w:tr>
      <w:tr w:rsidR="00DD4FA0" w14:paraId="1C861AA7" w14:textId="77777777">
        <w:trPr>
          <w:jc w:val="center"/>
        </w:trPr>
        <w:tc>
          <w:tcPr>
            <w:tcW w:w="5040" w:type="dxa"/>
            <w:vAlign w:val="center"/>
          </w:tcPr>
          <w:p w14:paraId="58647A34" w14:textId="77777777" w:rsidR="00DD4FA0" w:rsidRDefault="00000000">
            <w:r>
              <w:t>5. dNTPs</w:t>
            </w:r>
          </w:p>
        </w:tc>
        <w:tc>
          <w:tcPr>
            <w:tcW w:w="5040" w:type="dxa"/>
            <w:vAlign w:val="center"/>
          </w:tcPr>
          <w:p w14:paraId="21B0F3CF" w14:textId="77777777" w:rsidR="00DD4FA0" w:rsidRDefault="00000000">
            <w:r>
              <w:t>The DNA building blocks: dATP, dTTP, dGTP, and dCTP. The polymerase uses them to construct new complementary DNA strands.</w:t>
            </w:r>
          </w:p>
        </w:tc>
      </w:tr>
    </w:tbl>
    <w:p w14:paraId="5FB932F6" w14:textId="77777777" w:rsidR="00DD4FA0" w:rsidRDefault="00000000">
      <w:r>
        <w:t>Additional required reagents: PCR buffer and Mg²⁺ provide the correct chemical conditions and ions for polymerase activity. Nuclease-free water is used to make up the final reaction volume. In many laboratories, polymerase, buffer, Mg²⁺, and dNTPs are supplied together as a master mix.</w:t>
      </w:r>
    </w:p>
    <w:p w14:paraId="5EE4ED58" w14:textId="77777777" w:rsidR="00DD4FA0" w:rsidRPr="00471EDB" w:rsidRDefault="00000000">
      <w:pPr>
        <w:pStyle w:val="Heading1"/>
        <w:rPr>
          <w:color w:val="000000" w:themeColor="text1"/>
        </w:rPr>
      </w:pPr>
      <w:r w:rsidRPr="00471EDB">
        <w:rPr>
          <w:color w:val="000000" w:themeColor="text1"/>
        </w:rPr>
        <w:t>Part 2: The PCR Cycle</w:t>
      </w:r>
    </w:p>
    <w:p w14:paraId="0F722AFA" w14:textId="77777777" w:rsidR="00DD4FA0" w:rsidRDefault="00000000">
      <w:r>
        <w:t>PCR uses repeated heating and cooling cycles. Each cycle has three main temperature steps:</w:t>
      </w:r>
    </w:p>
    <w:p w14:paraId="29E782C7" w14:textId="77777777" w:rsidR="00DD4FA0" w:rsidRDefault="00000000">
      <w:pPr>
        <w:pStyle w:val="ListNumber"/>
      </w:pPr>
      <w:r>
        <w:rPr>
          <w:b/>
        </w:rPr>
        <w:t xml:space="preserve">1. Denaturation: 94–98°C: </w:t>
      </w:r>
      <w:r>
        <w:t>High temperature breaks the hydrogen bonds between complementary DNA bases. The double-stranded DNA separates into two single strands.</w:t>
      </w:r>
    </w:p>
    <w:p w14:paraId="3190CA7C" w14:textId="77777777" w:rsidR="00DD4FA0" w:rsidRDefault="00000000">
      <w:pPr>
        <w:pStyle w:val="ListNumber"/>
      </w:pPr>
      <w:r>
        <w:rPr>
          <w:b/>
        </w:rPr>
        <w:t xml:space="preserve">2. Annealing: approximately 50–65°C: </w:t>
      </w:r>
      <w:r>
        <w:t>The temperature is lowered so that the forward and reverse primers bind to their complementary sequences on the single-stranded template DNA. For primers with melting temperatures (Tm) of 60°C and 62°C, a sensible starting annealing temperature is about 57–60°C.</w:t>
      </w:r>
    </w:p>
    <w:p w14:paraId="1AB4C7BF" w14:textId="77777777" w:rsidR="00DD4FA0" w:rsidRDefault="00000000">
      <w:pPr>
        <w:pStyle w:val="ListNumber"/>
      </w:pPr>
      <w:r>
        <w:rPr>
          <w:b/>
        </w:rPr>
        <w:t xml:space="preserve">3. Extension: 68–72°C: </w:t>
      </w:r>
      <w:r>
        <w:t>Taq polymerase works efficiently at this temperature. It extends from each primer and adds complementary dNTPs in the 5′→3′ direction, producing new DNA strands.</w:t>
      </w:r>
    </w:p>
    <w:p w14:paraId="245FB5EB" w14:textId="77777777" w:rsidR="00DD4FA0" w:rsidRDefault="00000000">
      <w:r>
        <w:lastRenderedPageBreak/>
        <w:t>Cycle summary:</w:t>
      </w:r>
    </w:p>
    <w:p w14:paraId="06D2AF72" w14:textId="77777777" w:rsidR="00DD4FA0" w:rsidRDefault="00000000">
      <w:pPr>
        <w:jc w:val="center"/>
      </w:pPr>
      <w:r>
        <w:rPr>
          <w:b/>
        </w:rPr>
        <w:t>Denaturation (94–98°C)  →  Annealing (50–65°C)  →  Extension (68–72°C)</w:t>
      </w:r>
    </w:p>
    <w:p w14:paraId="5BA16F4B" w14:textId="77777777" w:rsidR="00DD4FA0" w:rsidRDefault="00000000">
      <w:r>
        <w:t>Ideally, the amount of target DNA doubles during every cycle. The theoretical relationship is:</w:t>
      </w:r>
    </w:p>
    <w:p w14:paraId="5B378A01" w14:textId="77777777" w:rsidR="00DD4FA0" w:rsidRDefault="00000000">
      <w:pPr>
        <w:jc w:val="center"/>
      </w:pPr>
      <w:r>
        <w:rPr>
          <w:b/>
        </w:rPr>
        <w:t>Nf = Ni × 2ⁿ</w:t>
      </w:r>
    </w:p>
    <w:p w14:paraId="7CB62891" w14:textId="77777777" w:rsidR="00DD4FA0" w:rsidRDefault="00000000">
      <w:r>
        <w:t>where Ni is the initial number of template molecules, n is the number of cycles, and Nf is the final number of DNA molecules.</w:t>
      </w:r>
    </w:p>
    <w:p w14:paraId="733F4B91" w14:textId="77777777" w:rsidR="00DD4FA0" w:rsidRPr="00471EDB" w:rsidRDefault="00000000">
      <w:pPr>
        <w:pStyle w:val="Heading1"/>
        <w:rPr>
          <w:color w:val="000000" w:themeColor="text1"/>
        </w:rPr>
      </w:pPr>
      <w:r w:rsidRPr="00471EDB">
        <w:rPr>
          <w:color w:val="000000" w:themeColor="text1"/>
        </w:rPr>
        <w:t>Part 3: Proof by Agarose Gel Electrophoresis</w:t>
      </w:r>
    </w:p>
    <w:p w14:paraId="5E42F47B" w14:textId="77777777" w:rsidR="00DD4FA0" w:rsidRDefault="00000000">
      <w:r>
        <w:t>After PCR, the products are loaded into an agarose gel along with a DNA ladder and a negative control. Because DNA is negatively charged, it migrates away from the negative electrode (cathode) and toward the positive electrode (anode). Smaller DNA fragments migrate farther through the gel than larger fragments.</w:t>
      </w:r>
    </w:p>
    <w:p w14:paraId="49AA07CC" w14:textId="77777777" w:rsidR="00DD4FA0" w:rsidRPr="00471EDB" w:rsidRDefault="00000000">
      <w:pPr>
        <w:pStyle w:val="Heading2"/>
        <w:rPr>
          <w:color w:val="000000" w:themeColor="text1"/>
        </w:rPr>
      </w:pPr>
      <w:r w:rsidRPr="00471EDB">
        <w:rPr>
          <w:color w:val="000000" w:themeColor="text1"/>
        </w:rPr>
        <w:t>Predicted Gel Result</w:t>
      </w:r>
    </w:p>
    <w:p w14:paraId="1AF9F348" w14:textId="77777777" w:rsidR="00DD4FA0" w:rsidRDefault="00000000">
      <w:pPr>
        <w:spacing w:after="0"/>
      </w:pPr>
      <w:r>
        <w:rPr>
          <w:rFonts w:ascii="Courier New" w:eastAsia="Courier New" w:hAnsi="Courier New"/>
          <w:sz w:val="18"/>
        </w:rPr>
        <w:t xml:space="preserve">                    Wells / loading side</w:t>
      </w:r>
    </w:p>
    <w:p w14:paraId="01F6C04A" w14:textId="77777777" w:rsidR="00DD4FA0" w:rsidRDefault="00000000">
      <w:pPr>
        <w:spacing w:after="0"/>
      </w:pPr>
      <w:r>
        <w:rPr>
          <w:rFonts w:ascii="Courier New" w:eastAsia="Courier New" w:hAnsi="Courier New"/>
          <w:sz w:val="18"/>
        </w:rPr>
        <w:t xml:space="preserve">              Negative electrode (–) / Cathode</w:t>
      </w:r>
    </w:p>
    <w:p w14:paraId="723B9406" w14:textId="77777777" w:rsidR="00DD4FA0" w:rsidRDefault="00000000">
      <w:pPr>
        <w:spacing w:after="0"/>
      </w:pPr>
      <w:r>
        <w:rPr>
          <w:rFonts w:ascii="Courier New" w:eastAsia="Courier New" w:hAnsi="Courier New"/>
          <w:sz w:val="18"/>
        </w:rPr>
        <w:t xml:space="preserve">                              │</w:t>
      </w:r>
    </w:p>
    <w:p w14:paraId="72AA8C69" w14:textId="77777777" w:rsidR="00DD4FA0" w:rsidRDefault="00000000">
      <w:pPr>
        <w:spacing w:after="0"/>
      </w:pPr>
      <w:r>
        <w:rPr>
          <w:rFonts w:ascii="Courier New" w:eastAsia="Courier New" w:hAnsi="Courier New"/>
          <w:sz w:val="18"/>
        </w:rPr>
        <w:t xml:space="preserve">                              ▼</w:t>
      </w:r>
    </w:p>
    <w:p w14:paraId="13D98E02" w14:textId="77777777" w:rsidR="00DD4FA0" w:rsidRDefault="00000000">
      <w:pPr>
        <w:spacing w:after="0"/>
      </w:pPr>
      <w:r>
        <w:rPr>
          <w:rFonts w:ascii="Courier New" w:eastAsia="Courier New" w:hAnsi="Courier New"/>
          <w:sz w:val="18"/>
        </w:rPr>
        <w:t xml:space="preserve">        ┌──────────────┬──────────────┬──────────────┐</w:t>
      </w:r>
    </w:p>
    <w:p w14:paraId="1C29B1EE" w14:textId="77777777" w:rsidR="00DD4FA0" w:rsidRDefault="00000000">
      <w:pPr>
        <w:spacing w:after="0"/>
      </w:pPr>
      <w:r>
        <w:rPr>
          <w:rFonts w:ascii="Courier New" w:eastAsia="Courier New" w:hAnsi="Courier New"/>
          <w:sz w:val="18"/>
        </w:rPr>
        <w:t xml:space="preserve">        │    Ladder    │ Negative     │ Patient      │</w:t>
      </w:r>
    </w:p>
    <w:p w14:paraId="069BAAB7" w14:textId="77777777" w:rsidR="00DD4FA0" w:rsidRDefault="00000000">
      <w:pPr>
        <w:spacing w:after="0"/>
      </w:pPr>
      <w:r>
        <w:rPr>
          <w:rFonts w:ascii="Courier New" w:eastAsia="Courier New" w:hAnsi="Courier New"/>
          <w:sz w:val="18"/>
        </w:rPr>
        <w:t xml:space="preserve">        │              │ control      │ sample       │</w:t>
      </w:r>
    </w:p>
    <w:p w14:paraId="1CF0EB40" w14:textId="77777777" w:rsidR="00DD4FA0" w:rsidRDefault="00000000">
      <w:pPr>
        <w:spacing w:after="0"/>
      </w:pPr>
      <w:r>
        <w:rPr>
          <w:rFonts w:ascii="Courier New" w:eastAsia="Courier New" w:hAnsi="Courier New"/>
          <w:sz w:val="18"/>
        </w:rPr>
        <w:t xml:space="preserve">        │  1000 bp     │              │              │</w:t>
      </w:r>
    </w:p>
    <w:p w14:paraId="617DB5A3" w14:textId="77777777" w:rsidR="00DD4FA0" w:rsidRDefault="00000000">
      <w:pPr>
        <w:spacing w:after="0"/>
      </w:pPr>
      <w:r>
        <w:rPr>
          <w:rFonts w:ascii="Courier New" w:eastAsia="Courier New" w:hAnsi="Courier New"/>
          <w:sz w:val="18"/>
        </w:rPr>
        <w:t xml:space="preserve">        │   700 bp     │              │              │</w:t>
      </w:r>
    </w:p>
    <w:p w14:paraId="2EAE21AE" w14:textId="77777777" w:rsidR="00DD4FA0" w:rsidRDefault="00000000">
      <w:pPr>
        <w:spacing w:after="0"/>
      </w:pPr>
      <w:r>
        <w:rPr>
          <w:rFonts w:ascii="Courier New" w:eastAsia="Courier New" w:hAnsi="Courier New"/>
          <w:sz w:val="18"/>
        </w:rPr>
        <w:t xml:space="preserve">        │   500 bp     │              │              │</w:t>
      </w:r>
    </w:p>
    <w:p w14:paraId="694EE687" w14:textId="77777777" w:rsidR="00DD4FA0" w:rsidRDefault="00000000">
      <w:pPr>
        <w:spacing w:after="0"/>
      </w:pPr>
      <w:r>
        <w:rPr>
          <w:rFonts w:ascii="Courier New" w:eastAsia="Courier New" w:hAnsi="Courier New"/>
          <w:sz w:val="18"/>
        </w:rPr>
        <w:t xml:space="preserve">        │   450 bp     │              │      █       │ ← expected band</w:t>
      </w:r>
    </w:p>
    <w:p w14:paraId="12EEAC7A" w14:textId="77777777" w:rsidR="00DD4FA0" w:rsidRDefault="00000000">
      <w:pPr>
        <w:spacing w:after="0"/>
      </w:pPr>
      <w:r>
        <w:rPr>
          <w:rFonts w:ascii="Courier New" w:eastAsia="Courier New" w:hAnsi="Courier New"/>
          <w:sz w:val="18"/>
        </w:rPr>
        <w:t xml:space="preserve">        │   300 bp     │              │              │</w:t>
      </w:r>
    </w:p>
    <w:p w14:paraId="695B7938" w14:textId="77777777" w:rsidR="00DD4FA0" w:rsidRDefault="00000000">
      <w:pPr>
        <w:spacing w:after="0"/>
      </w:pPr>
      <w:r>
        <w:rPr>
          <w:rFonts w:ascii="Courier New" w:eastAsia="Courier New" w:hAnsi="Courier New"/>
          <w:sz w:val="18"/>
        </w:rPr>
        <w:t xml:space="preserve">        │   200 bp     │              │              │</w:t>
      </w:r>
    </w:p>
    <w:p w14:paraId="75463C52" w14:textId="77777777" w:rsidR="00DD4FA0" w:rsidRDefault="00000000">
      <w:pPr>
        <w:spacing w:after="0"/>
      </w:pPr>
      <w:r>
        <w:rPr>
          <w:rFonts w:ascii="Courier New" w:eastAsia="Courier New" w:hAnsi="Courier New"/>
          <w:sz w:val="18"/>
        </w:rPr>
        <w:t xml:space="preserve">        │   100 bp     │              │              │</w:t>
      </w:r>
    </w:p>
    <w:p w14:paraId="228513F8" w14:textId="77777777" w:rsidR="00DD4FA0" w:rsidRDefault="00000000">
      <w:pPr>
        <w:spacing w:after="0"/>
      </w:pPr>
      <w:r>
        <w:rPr>
          <w:rFonts w:ascii="Courier New" w:eastAsia="Courier New" w:hAnsi="Courier New"/>
          <w:sz w:val="18"/>
        </w:rPr>
        <w:t xml:space="preserve">        └──────────────┴──────────────┴──────────────┘</w:t>
      </w:r>
    </w:p>
    <w:p w14:paraId="665BE66F" w14:textId="77777777" w:rsidR="00DD4FA0" w:rsidRDefault="00000000">
      <w:pPr>
        <w:spacing w:after="0"/>
      </w:pPr>
      <w:r>
        <w:rPr>
          <w:rFonts w:ascii="Courier New" w:eastAsia="Courier New" w:hAnsi="Courier New"/>
          <w:sz w:val="18"/>
        </w:rPr>
        <w:t xml:space="preserve">                              │</w:t>
      </w:r>
    </w:p>
    <w:p w14:paraId="6EA42C41" w14:textId="77777777" w:rsidR="00DD4FA0" w:rsidRDefault="00000000">
      <w:pPr>
        <w:spacing w:after="0"/>
      </w:pPr>
      <w:r>
        <w:rPr>
          <w:rFonts w:ascii="Courier New" w:eastAsia="Courier New" w:hAnsi="Courier New"/>
          <w:sz w:val="18"/>
        </w:rPr>
        <w:t xml:space="preserve">                              ▼</w:t>
      </w:r>
    </w:p>
    <w:p w14:paraId="2B42A417" w14:textId="77777777" w:rsidR="00DD4FA0" w:rsidRDefault="00000000">
      <w:pPr>
        <w:spacing w:after="0"/>
      </w:pPr>
      <w:r>
        <w:rPr>
          <w:rFonts w:ascii="Courier New" w:eastAsia="Courier New" w:hAnsi="Courier New"/>
          <w:sz w:val="18"/>
        </w:rPr>
        <w:t xml:space="preserve">              Positive electrode (+) / Anode</w:t>
      </w:r>
    </w:p>
    <w:p w14:paraId="369DBE2E" w14:textId="77777777" w:rsidR="00DD4FA0" w:rsidRDefault="00000000">
      <w:pPr>
        <w:spacing w:after="0"/>
      </w:pPr>
      <w:r>
        <w:rPr>
          <w:rFonts w:ascii="Courier New" w:eastAsia="Courier New" w:hAnsi="Courier New"/>
          <w:sz w:val="18"/>
        </w:rPr>
        <w:t xml:space="preserve">                 Direction of DNA migration</w:t>
      </w:r>
    </w:p>
    <w:p w14:paraId="5C95AA8C" w14:textId="77777777" w:rsidR="00DD4FA0" w:rsidRPr="00471EDB" w:rsidRDefault="00000000">
      <w:pPr>
        <w:pStyle w:val="Heading2"/>
        <w:rPr>
          <w:color w:val="000000" w:themeColor="text1"/>
        </w:rPr>
      </w:pPr>
      <w:r w:rsidRPr="00471EDB">
        <w:rPr>
          <w:color w:val="000000" w:themeColor="text1"/>
        </w:rPr>
        <w:t>Interpretation</w:t>
      </w:r>
    </w:p>
    <w:tbl>
      <w:tblPr>
        <w:tblStyle w:val="TableGrid"/>
        <w:tblW w:w="0" w:type="auto"/>
        <w:jc w:val="center"/>
        <w:tblLook w:val="04A0" w:firstRow="1" w:lastRow="0" w:firstColumn="1" w:lastColumn="0" w:noHBand="0" w:noVBand="1"/>
      </w:tblPr>
      <w:tblGrid>
        <w:gridCol w:w="3356"/>
        <w:gridCol w:w="3357"/>
        <w:gridCol w:w="3357"/>
      </w:tblGrid>
      <w:tr w:rsidR="00DD4FA0" w14:paraId="0CD05384" w14:textId="77777777">
        <w:trPr>
          <w:jc w:val="center"/>
        </w:trPr>
        <w:tc>
          <w:tcPr>
            <w:tcW w:w="3360" w:type="dxa"/>
            <w:shd w:val="clear" w:color="auto" w:fill="D9EAF7"/>
          </w:tcPr>
          <w:p w14:paraId="74BCB3C5" w14:textId="77777777" w:rsidR="00DD4FA0" w:rsidRDefault="00000000">
            <w:r>
              <w:rPr>
                <w:b/>
              </w:rPr>
              <w:t>Lane</w:t>
            </w:r>
          </w:p>
        </w:tc>
        <w:tc>
          <w:tcPr>
            <w:tcW w:w="3360" w:type="dxa"/>
            <w:shd w:val="clear" w:color="auto" w:fill="D9EAF7"/>
          </w:tcPr>
          <w:p w14:paraId="06497086" w14:textId="77777777" w:rsidR="00DD4FA0" w:rsidRDefault="00000000">
            <w:r>
              <w:rPr>
                <w:b/>
              </w:rPr>
              <w:t>Expected observation</w:t>
            </w:r>
          </w:p>
        </w:tc>
        <w:tc>
          <w:tcPr>
            <w:tcW w:w="3360" w:type="dxa"/>
            <w:shd w:val="clear" w:color="auto" w:fill="D9EAF7"/>
          </w:tcPr>
          <w:p w14:paraId="4A6E8425" w14:textId="77777777" w:rsidR="00DD4FA0" w:rsidRDefault="00000000">
            <w:r>
              <w:rPr>
                <w:b/>
              </w:rPr>
              <w:t>Meaning</w:t>
            </w:r>
          </w:p>
        </w:tc>
      </w:tr>
      <w:tr w:rsidR="00DD4FA0" w14:paraId="78F86310" w14:textId="77777777">
        <w:trPr>
          <w:jc w:val="center"/>
        </w:trPr>
        <w:tc>
          <w:tcPr>
            <w:tcW w:w="3360" w:type="dxa"/>
          </w:tcPr>
          <w:p w14:paraId="2F209ACA" w14:textId="77777777" w:rsidR="00DD4FA0" w:rsidRDefault="00000000">
            <w:r>
              <w:t>DNA ladder</w:t>
            </w:r>
          </w:p>
        </w:tc>
        <w:tc>
          <w:tcPr>
            <w:tcW w:w="3360" w:type="dxa"/>
          </w:tcPr>
          <w:p w14:paraId="10DEF4D4" w14:textId="77777777" w:rsidR="00DD4FA0" w:rsidRDefault="00000000">
            <w:r>
              <w:t>Several bands of known sizes, including bands surrounding 450 bp.</w:t>
            </w:r>
          </w:p>
        </w:tc>
        <w:tc>
          <w:tcPr>
            <w:tcW w:w="3360" w:type="dxa"/>
          </w:tcPr>
          <w:p w14:paraId="54631A64" w14:textId="77777777" w:rsidR="00DD4FA0" w:rsidRDefault="00000000">
            <w:r>
              <w:t>Acts as the molecular ruler used to estimate the size of the patient PCR product.</w:t>
            </w:r>
          </w:p>
        </w:tc>
      </w:tr>
      <w:tr w:rsidR="00DD4FA0" w14:paraId="24C7D61C" w14:textId="77777777">
        <w:trPr>
          <w:jc w:val="center"/>
        </w:trPr>
        <w:tc>
          <w:tcPr>
            <w:tcW w:w="3360" w:type="dxa"/>
          </w:tcPr>
          <w:p w14:paraId="6BFD5CDD" w14:textId="77777777" w:rsidR="00DD4FA0" w:rsidRDefault="00000000">
            <w:r>
              <w:t>Negative control</w:t>
            </w:r>
          </w:p>
        </w:tc>
        <w:tc>
          <w:tcPr>
            <w:tcW w:w="3360" w:type="dxa"/>
          </w:tcPr>
          <w:p w14:paraId="71E07475" w14:textId="77777777" w:rsidR="00DD4FA0" w:rsidRDefault="00000000">
            <w:r>
              <w:t>No visible band.</w:t>
            </w:r>
          </w:p>
        </w:tc>
        <w:tc>
          <w:tcPr>
            <w:tcW w:w="3360" w:type="dxa"/>
          </w:tcPr>
          <w:p w14:paraId="4AE0952E" w14:textId="77777777" w:rsidR="00DD4FA0" w:rsidRDefault="00000000">
            <w:r>
              <w:t>Shows that the PCR reagents were not detectably contaminated with target DNA.</w:t>
            </w:r>
          </w:p>
        </w:tc>
      </w:tr>
      <w:tr w:rsidR="00DD4FA0" w14:paraId="3F698B51" w14:textId="77777777">
        <w:trPr>
          <w:jc w:val="center"/>
        </w:trPr>
        <w:tc>
          <w:tcPr>
            <w:tcW w:w="3360" w:type="dxa"/>
          </w:tcPr>
          <w:p w14:paraId="216DC631" w14:textId="77777777" w:rsidR="00DD4FA0" w:rsidRDefault="00000000">
            <w:r>
              <w:t>Patient sample</w:t>
            </w:r>
          </w:p>
        </w:tc>
        <w:tc>
          <w:tcPr>
            <w:tcW w:w="3360" w:type="dxa"/>
          </w:tcPr>
          <w:p w14:paraId="0B590D5C" w14:textId="77777777" w:rsidR="00DD4FA0" w:rsidRDefault="00000000">
            <w:r>
              <w:t>One clear band at 450 bp.</w:t>
            </w:r>
          </w:p>
        </w:tc>
        <w:tc>
          <w:tcPr>
            <w:tcW w:w="3360" w:type="dxa"/>
          </w:tcPr>
          <w:p w14:paraId="726247CD" w14:textId="77777777" w:rsidR="00DD4FA0" w:rsidRDefault="00000000">
            <w:r>
              <w:t>Shows successful amplification of the expected target-sized DNA fragment.</w:t>
            </w:r>
          </w:p>
        </w:tc>
      </w:tr>
    </w:tbl>
    <w:p w14:paraId="4F128867" w14:textId="77777777" w:rsidR="00DD4FA0" w:rsidRDefault="00000000">
      <w:r>
        <w:t>Conclusion: If the patient lane has a clear band at 450 bp and the negative control has no band, the PCR result supports the presence of the tested target fragment in the patient DNA. A clinical diagnosis should use a validated assay, appropriate positive controls, and confirmatory testing when required.</w:t>
      </w:r>
    </w:p>
    <w:p w14:paraId="1507B96D" w14:textId="77777777" w:rsidR="00DD4FA0" w:rsidRPr="00471EDB" w:rsidRDefault="00000000">
      <w:pPr>
        <w:pStyle w:val="Heading1"/>
        <w:rPr>
          <w:color w:val="000000" w:themeColor="text1"/>
        </w:rPr>
      </w:pPr>
      <w:r w:rsidRPr="00471EDB">
        <w:rPr>
          <w:color w:val="000000" w:themeColor="text1"/>
        </w:rPr>
        <w:lastRenderedPageBreak/>
        <w:t>Final Workflow</w:t>
      </w:r>
    </w:p>
    <w:p w14:paraId="6461548D" w14:textId="77777777" w:rsidR="00DD4FA0" w:rsidRDefault="00000000">
      <w:pPr>
        <w:jc w:val="center"/>
      </w:pPr>
      <w:r>
        <w:rPr>
          <w:b/>
        </w:rPr>
        <w:t xml:space="preserve">Extract patient </w:t>
      </w:r>
      <w:proofErr w:type="gramStart"/>
      <w:r>
        <w:rPr>
          <w:b/>
        </w:rPr>
        <w:t>DNA  →</w:t>
      </w:r>
      <w:proofErr w:type="gramEnd"/>
      <w:r>
        <w:rPr>
          <w:b/>
        </w:rPr>
        <w:t xml:space="preserve">  Check DNA </w:t>
      </w:r>
      <w:proofErr w:type="gramStart"/>
      <w:r>
        <w:rPr>
          <w:b/>
        </w:rPr>
        <w:t>quality  →</w:t>
      </w:r>
      <w:proofErr w:type="gramEnd"/>
      <w:r>
        <w:rPr>
          <w:b/>
        </w:rPr>
        <w:t xml:space="preserve">  Prepare PCR </w:t>
      </w:r>
      <w:proofErr w:type="gramStart"/>
      <w:r>
        <w:rPr>
          <w:b/>
        </w:rPr>
        <w:t>mix  →</w:t>
      </w:r>
      <w:proofErr w:type="gramEnd"/>
      <w:r>
        <w:rPr>
          <w:b/>
        </w:rPr>
        <w:t xml:space="preserve">  Run thermal </w:t>
      </w:r>
      <w:proofErr w:type="gramStart"/>
      <w:r>
        <w:rPr>
          <w:b/>
        </w:rPr>
        <w:t>cycles  →</w:t>
      </w:r>
      <w:proofErr w:type="gramEnd"/>
      <w:r>
        <w:rPr>
          <w:b/>
        </w:rPr>
        <w:t xml:space="preserve">  Load </w:t>
      </w:r>
      <w:proofErr w:type="gramStart"/>
      <w:r>
        <w:rPr>
          <w:b/>
        </w:rPr>
        <w:t>gel  →</w:t>
      </w:r>
      <w:proofErr w:type="gramEnd"/>
      <w:r>
        <w:rPr>
          <w:b/>
        </w:rPr>
        <w:t xml:space="preserve">  Run </w:t>
      </w:r>
      <w:proofErr w:type="gramStart"/>
      <w:r>
        <w:rPr>
          <w:b/>
        </w:rPr>
        <w:t>electrophoresis  →</w:t>
      </w:r>
      <w:proofErr w:type="gramEnd"/>
      <w:r>
        <w:rPr>
          <w:b/>
        </w:rPr>
        <w:t xml:space="preserve">  Visualize and interpret the 450 bp band</w:t>
      </w:r>
    </w:p>
    <w:sectPr w:rsidR="00DD4FA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737342">
    <w:abstractNumId w:val="8"/>
  </w:num>
  <w:num w:numId="2" w16cid:durableId="46731964">
    <w:abstractNumId w:val="6"/>
  </w:num>
  <w:num w:numId="3" w16cid:durableId="1405840047">
    <w:abstractNumId w:val="5"/>
  </w:num>
  <w:num w:numId="4" w16cid:durableId="658004219">
    <w:abstractNumId w:val="4"/>
  </w:num>
  <w:num w:numId="5" w16cid:durableId="176845758">
    <w:abstractNumId w:val="7"/>
  </w:num>
  <w:num w:numId="6" w16cid:durableId="375544833">
    <w:abstractNumId w:val="3"/>
  </w:num>
  <w:num w:numId="7" w16cid:durableId="433748534">
    <w:abstractNumId w:val="2"/>
  </w:num>
  <w:num w:numId="8" w16cid:durableId="798953596">
    <w:abstractNumId w:val="1"/>
  </w:num>
  <w:num w:numId="9" w16cid:durableId="18594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EFF"/>
    <w:rsid w:val="0015074B"/>
    <w:rsid w:val="0029639D"/>
    <w:rsid w:val="00326F90"/>
    <w:rsid w:val="00471EDB"/>
    <w:rsid w:val="00AA1D8D"/>
    <w:rsid w:val="00B47730"/>
    <w:rsid w:val="00CB0664"/>
    <w:rsid w:val="00DD4F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1B671"/>
  <w14:defaultImageDpi w14:val="300"/>
  <w15:docId w15:val="{DEDBF839-24B9-4A88-8EE7-63A2C934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rushika unde</cp:lastModifiedBy>
  <cp:revision>2</cp:revision>
  <dcterms:created xsi:type="dcterms:W3CDTF">2026-09-26T15:46:00Z</dcterms:created>
  <dcterms:modified xsi:type="dcterms:W3CDTF">2026-09-26T15:46:00Z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ec8db6f4-ab6f-41be-8224-d3baddd43168</vt:lpwstr>
  </property>
</Properties>
</file>