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pPr>
    </w:p>
    <w:p>
      <w:pPr>
        <w:shd w:fill="1F3864" w:val="clear"/>
        <w:spacing w:before="240" w:after="60"/>
        <w:jc w:val="center"/>
      </w:pPr>
      <w:r>
        <w:rPr>
          <w:rFonts w:ascii="Arial" w:cs="Arial" w:eastAsia="Arial" w:hAnsi="Arial"/>
          <w:b/>
          <w:bCs/>
          <w:color w:val="FFFFFF"/>
          <w:sz w:val="52"/>
          <w:szCs w:val="52"/>
        </w:rPr>
        <w:t xml:space="preserve">SALES DATA</w:t>
      </w:r>
    </w:p>
    <w:p>
      <w:pPr>
        <w:shd w:fill="1F3864" w:val="clear"/>
        <w:spacing w:before="0" w:after="0"/>
        <w:jc w:val="center"/>
      </w:pPr>
      <w:r>
        <w:rPr>
          <w:rFonts w:ascii="Arial" w:cs="Arial" w:eastAsia="Arial" w:hAnsi="Arial"/>
          <w:i/>
          <w:iCs/>
          <w:color w:val="BDD7EE"/>
          <w:sz w:val="36"/>
          <w:szCs w:val="36"/>
        </w:rPr>
        <w:t xml:space="preserve">Exploratory Data Analysis</w:t>
      </w:r>
    </w:p>
    <w:p>
      <w:pPr>
        <w:shd w:fill="1F3864" w:val="clear"/>
        <w:spacing w:before="0" w:after="0"/>
        <w:jc w:val="center"/>
      </w:pPr>
      <w:r>
        <w:rPr>
          <w:rFonts w:ascii="Arial" w:cs="Arial" w:eastAsia="Arial" w:hAnsi="Arial"/>
          <w:color w:val="FFFFFF"/>
          <w:sz w:val="28"/>
          <w:szCs w:val="28"/>
        </w:rPr>
        <w:t xml:space="preserve"> </w:t>
      </w:r>
    </w:p>
    <w:p>
      <w:pPr>
        <w:shd w:fill="1F3864" w:val="clear"/>
        <w:spacing w:before="0" w:after="240"/>
        <w:jc w:val="center"/>
      </w:pPr>
      <w:r>
        <w:rPr>
          <w:rFonts w:ascii="Arial" w:cs="Arial" w:eastAsia="Arial" w:hAnsi="Arial"/>
          <w:color w:val="BDD7EE"/>
          <w:sz w:val="24"/>
          <w:szCs w:val="24"/>
        </w:rPr>
        <w:t xml:space="preserve">Professional Data Analytics Report</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Project Title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Sales Data Exploratory Data Analysis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Tools Used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Python, Pandas, NumPy, Matplotlib, Seaborn, Jupyter Notebook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Dataset Size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64,104 transactions across multiple sheets (Sales, Customers, Products, Regions, State Regions, Budgets)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Date Range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January 2014 – February 2018</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Sales Channels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Wholesale, Distributor, Export</w:t>
            </w:r>
          </w:p>
        </w:tc>
      </w:tr>
    </w:tbl>
    <w:p>
      <w:pPr>
        <w:spacing w:before="0" w:after="0"/>
      </w:pPr>
      <w:r>
        <w:br w:type="page"/>
      </w:r>
    </w:p>
    <w:p>
      <w:pPr>
        <w:pStyle w:val="Heading1"/>
        <w:spacing w:before="320" w:after="160"/>
      </w:pPr>
      <w:r>
        <w:rPr>
          <w:rFonts w:ascii="Arial" w:cs="Arial" w:eastAsia="Arial" w:hAnsi="Arial"/>
          <w:b/>
          <w:bCs/>
          <w:color w:val="FFFFFF"/>
          <w:sz w:val="32"/>
          <w:szCs w:val="32"/>
        </w:rPr>
        <w:t xml:space="preserve">1.  Abstract</w:t>
      </w:r>
    </w:p>
    <w:p>
      <w:pPr>
        <w:spacing w:before="160" w:after="160"/>
        <w:jc w:val="both"/>
      </w:pPr>
      <w:r>
        <w:rPr>
          <w:rFonts w:ascii="Arial" w:cs="Arial" w:eastAsia="Arial" w:hAnsi="Arial"/>
          <w:b w:val="false"/>
          <w:bCs w:val="false"/>
          <w:i w:val="false"/>
          <w:iCs w:val="false"/>
          <w:color w:val="000000"/>
          <w:sz w:val="22"/>
          <w:szCs w:val="22"/>
        </w:rPr>
        <w:t xml:space="preserve">This report presents a comprehensive Exploratory Data Analysis (EDA) of a multi-year retail sales dataset comprising 64,104 transactions recorded between January 2014 and February 2018. The study was conducted using Python and its data science ecosystem — Pandas, NumPy, Matplotlib, and Seaborn — within a Jupyter Notebook environment. Through a systematic data preparation pipeline and seven distinct analytical modules, the report examines monthly sales trends, product-level performance, channel contribution, geographic distribution, order-value behaviour, customer concentration, and the relationship between pricing and profitability. The analysis reveals pronounced seasonal demand cycles, a heavily concentrated revenue base among top products and customers, the dominance of the Wholesale channel, and significant regional variation in purchasing activity. Based on these findings, targeted business recommendations are proposed to support strategic decision-making across sales, marketing, and operations functions.</w:t>
      </w:r>
    </w:p>
    <w:p>
      <w:pPr>
        <w:pBdr>
          <w:bottom w:val="single" w:color="1F3864" w:sz="4" w:space="1"/>
        </w:pBdr>
        <w:spacing w:before="120" w:after="120"/>
      </w:pPr>
    </w:p>
    <w:p>
      <w:pPr>
        <w:pStyle w:val="Heading1"/>
        <w:spacing w:before="320" w:after="160"/>
      </w:pPr>
      <w:r>
        <w:rPr>
          <w:rFonts w:ascii="Arial" w:cs="Arial" w:eastAsia="Arial" w:hAnsi="Arial"/>
          <w:b/>
          <w:bCs/>
          <w:color w:val="FFFFFF"/>
          <w:sz w:val="32"/>
          <w:szCs w:val="32"/>
        </w:rPr>
        <w:t xml:space="preserve">2.  Introduction</w:t>
      </w:r>
    </w:p>
    <w:p>
      <w:pPr>
        <w:spacing w:before="160" w:after="80"/>
        <w:jc w:val="both"/>
      </w:pPr>
      <w:r>
        <w:rPr>
          <w:rFonts w:ascii="Arial" w:cs="Arial" w:eastAsia="Arial" w:hAnsi="Arial"/>
          <w:b w:val="false"/>
          <w:bCs w:val="false"/>
          <w:i w:val="false"/>
          <w:iCs w:val="false"/>
          <w:color w:val="000000"/>
          <w:sz w:val="22"/>
          <w:szCs w:val="22"/>
        </w:rPr>
        <w:t xml:space="preserve">In an increasingly competitive commercial environment, organisations generate large volumes of transactional data that, if analysed systematically, can yield actionable intelligence to inform strategic planning. Exploratory Data Analysis serves as the foundational stage of the data analytics pipeline, enabling analysts to understand the structure, quality, and distributional characteristics of a dataset before proceeding to predictive or prescriptive modelling.</w:t>
      </w:r>
    </w:p>
    <w:p>
      <w:pPr>
        <w:spacing w:before="80" w:after="80"/>
        <w:jc w:val="both"/>
      </w:pPr>
      <w:r>
        <w:rPr>
          <w:rFonts w:ascii="Arial" w:cs="Arial" w:eastAsia="Arial" w:hAnsi="Arial"/>
          <w:b w:val="false"/>
          <w:bCs w:val="false"/>
          <w:i w:val="false"/>
          <w:iCs w:val="false"/>
          <w:color w:val="000000"/>
          <w:sz w:val="22"/>
          <w:szCs w:val="22"/>
        </w:rPr>
        <w:t xml:space="preserve">This project applies EDA techniques to a Regional Sales Dataset sourced from a multi-sheet Excel workbook. The dataset captures order-level information across products, customers, geographic locations, and sales channels over a four-year period. The analysis integrates six interconnected data tables — Sales Orders, Customers, Products, Regions, State Regions, and 2017 Budgets — into a unified analytical dataframe through a series of left-merge operations.</w:t>
      </w:r>
    </w:p>
    <w:p>
      <w:pPr>
        <w:spacing w:before="80" w:after="160"/>
        <w:jc w:val="both"/>
      </w:pPr>
      <w:r>
        <w:rPr>
          <w:rFonts w:ascii="Arial" w:cs="Arial" w:eastAsia="Arial" w:hAnsi="Arial"/>
          <w:b w:val="false"/>
          <w:bCs w:val="false"/>
          <w:i w:val="false"/>
          <w:iCs w:val="false"/>
          <w:color w:val="000000"/>
          <w:sz w:val="22"/>
          <w:szCs w:val="22"/>
        </w:rPr>
        <w:t xml:space="preserve">The resulting dataset provides a holistic view of business performance, enabling cross-dimensional analysis that would not be possible from any single table in isolation. This report documents all analytical steps, visualisation outputs, and the business insights derived from the data.</w:t>
      </w:r>
    </w:p>
    <w:p>
      <w:pPr>
        <w:pBdr>
          <w:bottom w:val="single" w:color="1F3864" w:sz="4" w:space="1"/>
        </w:pBdr>
        <w:spacing w:before="120" w:after="120"/>
      </w:pPr>
    </w:p>
    <w:p>
      <w:pPr>
        <w:pStyle w:val="Heading1"/>
        <w:spacing w:before="320" w:after="160"/>
      </w:pPr>
      <w:r>
        <w:rPr>
          <w:rFonts w:ascii="Arial" w:cs="Arial" w:eastAsia="Arial" w:hAnsi="Arial"/>
          <w:b/>
          <w:bCs/>
          <w:color w:val="FFFFFF"/>
          <w:sz w:val="32"/>
          <w:szCs w:val="32"/>
        </w:rPr>
        <w:t xml:space="preserve">3.  Problem Statement</w:t>
      </w:r>
    </w:p>
    <w:p>
      <w:pPr>
        <w:spacing w:before="160" w:after="80"/>
        <w:jc w:val="both"/>
      </w:pPr>
      <w:r>
        <w:rPr>
          <w:rFonts w:ascii="Arial" w:cs="Arial" w:eastAsia="Arial" w:hAnsi="Arial"/>
          <w:b w:val="false"/>
          <w:bCs w:val="false"/>
          <w:i w:val="false"/>
          <w:iCs w:val="false"/>
          <w:color w:val="000000"/>
          <w:sz w:val="22"/>
          <w:szCs w:val="22"/>
        </w:rPr>
        <w:t xml:space="preserve">Despite generating over 64,000 sales transactions across multiple years, the organisation lacks a consolidated view of its revenue drivers, geographic demand patterns, and channel effectiveness. Decision-makers are unable to identify which products contribute most to profitability, which customers present concentration risks, or how seasonal fluctuations should inform inventory and marketing planning. Without a structured analytical approach, this transactional data remains an underutilised asset.</w:t>
      </w:r>
    </w:p>
    <w:p>
      <w:pPr>
        <w:spacing w:before="80" w:after="80"/>
        <w:jc w:val="both"/>
      </w:pPr>
      <w:r>
        <w:rPr>
          <w:rFonts w:ascii="Arial" w:cs="Arial" w:eastAsia="Arial" w:hAnsi="Arial"/>
          <w:b w:val="false"/>
          <w:bCs w:val="false"/>
          <w:i w:val="false"/>
          <w:iCs w:val="false"/>
          <w:color w:val="000000"/>
          <w:sz w:val="22"/>
          <w:szCs w:val="22"/>
        </w:rPr>
        <w:t xml:space="preserve">This analysis addresses the following core business questions:</w:t>
      </w:r>
    </w:p>
    <w:p>
      <w:pPr>
        <w:pStyle w:val="ListParagraph"/>
        <w:numPr>
          <w:ilvl w:val="0"/>
          <w:numId w:val="2"/>
        </w:numPr>
        <w:spacing w:before="60" w:after="60"/>
      </w:pPr>
      <w:r>
        <w:rPr>
          <w:rFonts w:ascii="Arial" w:cs="Arial" w:eastAsia="Arial" w:hAnsi="Arial"/>
          <w:sz w:val="22"/>
          <w:szCs w:val="22"/>
        </w:rPr>
        <w:t xml:space="preserve">Which products and customers generate the highest revenue and profit margin?</w:t>
      </w:r>
    </w:p>
    <w:p>
      <w:pPr>
        <w:pStyle w:val="ListParagraph"/>
        <w:numPr>
          <w:ilvl w:val="0"/>
          <w:numId w:val="2"/>
        </w:numPr>
        <w:spacing w:before="60" w:after="60"/>
      </w:pPr>
      <w:r>
        <w:rPr>
          <w:rFonts w:ascii="Arial" w:cs="Arial" w:eastAsia="Arial" w:hAnsi="Arial"/>
          <w:sz w:val="22"/>
          <w:szCs w:val="22"/>
        </w:rPr>
        <w:t xml:space="preserve">How does sales performance vary across geographic regions and US states?</w:t>
      </w:r>
    </w:p>
    <w:p>
      <w:pPr>
        <w:pStyle w:val="ListParagraph"/>
        <w:numPr>
          <w:ilvl w:val="0"/>
          <w:numId w:val="2"/>
        </w:numPr>
        <w:spacing w:before="60" w:after="60"/>
      </w:pPr>
      <w:r>
        <w:rPr>
          <w:rFonts w:ascii="Arial" w:cs="Arial" w:eastAsia="Arial" w:hAnsi="Arial"/>
          <w:sz w:val="22"/>
          <w:szCs w:val="22"/>
        </w:rPr>
        <w:t xml:space="preserve">What seasonal or cyclical patterns are observable in monthly revenue?</w:t>
      </w:r>
    </w:p>
    <w:p>
      <w:pPr>
        <w:pStyle w:val="ListParagraph"/>
        <w:numPr>
          <w:ilvl w:val="0"/>
          <w:numId w:val="2"/>
        </w:numPr>
        <w:spacing w:before="60" w:after="60"/>
      </w:pPr>
      <w:r>
        <w:rPr>
          <w:rFonts w:ascii="Arial" w:cs="Arial" w:eastAsia="Arial" w:hAnsi="Arial"/>
          <w:sz w:val="22"/>
          <w:szCs w:val="22"/>
        </w:rPr>
        <w:t xml:space="preserve">How do the three sales channels — Wholesale, Distributor, and Export — compare in revenue contribution?</w:t>
      </w:r>
    </w:p>
    <w:p>
      <w:pPr>
        <w:pStyle w:val="ListParagraph"/>
        <w:numPr>
          <w:ilvl w:val="0"/>
          <w:numId w:val="2"/>
        </w:numPr>
        <w:spacing w:before="60" w:after="60"/>
      </w:pPr>
      <w:r>
        <w:rPr>
          <w:rFonts w:ascii="Arial" w:cs="Arial" w:eastAsia="Arial" w:hAnsi="Arial"/>
          <w:sz w:val="22"/>
          <w:szCs w:val="22"/>
        </w:rPr>
        <w:t xml:space="preserve">What is the distribution of order values, and what does it reveal about purchasing behaviour?</w:t>
      </w:r>
    </w:p>
    <w:p>
      <w:pPr>
        <w:pStyle w:val="ListParagraph"/>
        <w:numPr>
          <w:ilvl w:val="0"/>
          <w:numId w:val="2"/>
        </w:numPr>
        <w:spacing w:before="60" w:after="60"/>
      </w:pPr>
      <w:r>
        <w:rPr>
          <w:rFonts w:ascii="Arial" w:cs="Arial" w:eastAsia="Arial" w:hAnsi="Arial"/>
          <w:sz w:val="22"/>
          <w:szCs w:val="22"/>
        </w:rPr>
        <w:t xml:space="preserve">Is there a relationship between unit price levels and achieved profit margins?</w:t>
      </w:r>
    </w:p>
    <w:p>
      <w:pPr>
        <w:spacing w:before="80" w:after="160"/>
      </w:pPr>
    </w:p>
    <w:p>
      <w:pPr>
        <w:pBdr>
          <w:bottom w:val="single" w:color="1F3864" w:sz="4" w:space="1"/>
        </w:pBdr>
        <w:spacing w:before="120" w:after="120"/>
      </w:pPr>
    </w:p>
    <w:p>
      <w:pPr>
        <w:pStyle w:val="Heading1"/>
        <w:spacing w:before="320" w:after="160"/>
      </w:pPr>
      <w:r>
        <w:rPr>
          <w:rFonts w:ascii="Arial" w:cs="Arial" w:eastAsia="Arial" w:hAnsi="Arial"/>
          <w:b/>
          <w:bCs/>
          <w:color w:val="FFFFFF"/>
          <w:sz w:val="32"/>
          <w:szCs w:val="32"/>
        </w:rPr>
        <w:t xml:space="preserve">4.  Objectives of the Study</w:t>
      </w:r>
    </w:p>
    <w:p>
      <w:pPr>
        <w:spacing w:before="160" w:after="80"/>
        <w:jc w:val="both"/>
      </w:pPr>
      <w:r>
        <w:rPr>
          <w:rFonts w:ascii="Arial" w:cs="Arial" w:eastAsia="Arial" w:hAnsi="Arial"/>
          <w:b w:val="false"/>
          <w:bCs w:val="false"/>
          <w:i w:val="false"/>
          <w:iCs w:val="false"/>
          <w:color w:val="000000"/>
          <w:sz w:val="22"/>
          <w:szCs w:val="22"/>
        </w:rPr>
        <w:t xml:space="preserve">The primary objectives of this exploratory study are:</w:t>
      </w:r>
    </w:p>
    <w:p>
      <w:pPr>
        <w:pStyle w:val="ListParagraph"/>
        <w:numPr>
          <w:ilvl w:val="0"/>
          <w:numId w:val="2"/>
        </w:numPr>
        <w:spacing w:before="60" w:after="60"/>
      </w:pPr>
      <w:r>
        <w:rPr>
          <w:rFonts w:ascii="Arial" w:cs="Arial" w:eastAsia="Arial" w:hAnsi="Arial"/>
          <w:sz w:val="22"/>
          <w:szCs w:val="22"/>
        </w:rPr>
        <w:t xml:space="preserve">To clean, merge, and engineer a consolidated analytical dataset from six relational tables.</w:t>
      </w:r>
    </w:p>
    <w:p>
      <w:pPr>
        <w:pStyle w:val="ListParagraph"/>
        <w:numPr>
          <w:ilvl w:val="0"/>
          <w:numId w:val="2"/>
        </w:numPr>
        <w:spacing w:before="60" w:after="60"/>
      </w:pPr>
      <w:r>
        <w:rPr>
          <w:rFonts w:ascii="Arial" w:cs="Arial" w:eastAsia="Arial" w:hAnsi="Arial"/>
          <w:sz w:val="22"/>
          <w:szCs w:val="22"/>
        </w:rPr>
        <w:t xml:space="preserve">To identify temporal patterns in monthly revenue through time-series visualisation.</w:t>
      </w:r>
    </w:p>
    <w:p>
      <w:pPr>
        <w:pStyle w:val="ListParagraph"/>
        <w:numPr>
          <w:ilvl w:val="0"/>
          <w:numId w:val="2"/>
        </w:numPr>
        <w:spacing w:before="60" w:after="60"/>
      </w:pPr>
      <w:r>
        <w:rPr>
          <w:rFonts w:ascii="Arial" w:cs="Arial" w:eastAsia="Arial" w:hAnsi="Arial"/>
          <w:sz w:val="22"/>
          <w:szCs w:val="22"/>
        </w:rPr>
        <w:t xml:space="preserve">To evaluate product performance across revenue generation and profitability dimensions.</w:t>
      </w:r>
    </w:p>
    <w:p>
      <w:pPr>
        <w:pStyle w:val="ListParagraph"/>
        <w:numPr>
          <w:ilvl w:val="0"/>
          <w:numId w:val="2"/>
        </w:numPr>
        <w:spacing w:before="60" w:after="60"/>
      </w:pPr>
      <w:r>
        <w:rPr>
          <w:rFonts w:ascii="Arial" w:cs="Arial" w:eastAsia="Arial" w:hAnsi="Arial"/>
          <w:sz w:val="22"/>
          <w:szCs w:val="22"/>
        </w:rPr>
        <w:t xml:space="preserve">To compare the relative contribution of sales channels to total revenue.</w:t>
      </w:r>
    </w:p>
    <w:p>
      <w:pPr>
        <w:pStyle w:val="ListParagraph"/>
        <w:numPr>
          <w:ilvl w:val="0"/>
          <w:numId w:val="2"/>
        </w:numPr>
        <w:spacing w:before="60" w:after="60"/>
      </w:pPr>
      <w:r>
        <w:rPr>
          <w:rFonts w:ascii="Arial" w:cs="Arial" w:eastAsia="Arial" w:hAnsi="Arial"/>
          <w:sz w:val="22"/>
          <w:szCs w:val="22"/>
        </w:rPr>
        <w:t xml:space="preserve">To characterise order-value distribution and derive insights about customer purchasing behaviour.</w:t>
      </w:r>
    </w:p>
    <w:p>
      <w:pPr>
        <w:pStyle w:val="ListParagraph"/>
        <w:numPr>
          <w:ilvl w:val="0"/>
          <w:numId w:val="2"/>
        </w:numPr>
        <w:spacing w:before="60" w:after="60"/>
      </w:pPr>
      <w:r>
        <w:rPr>
          <w:rFonts w:ascii="Arial" w:cs="Arial" w:eastAsia="Arial" w:hAnsi="Arial"/>
          <w:sz w:val="22"/>
          <w:szCs w:val="22"/>
        </w:rPr>
        <w:t xml:space="preserve">To conduct geographic analysis at both the regional and state levels.</w:t>
      </w:r>
    </w:p>
    <w:p>
      <w:pPr>
        <w:pStyle w:val="ListParagraph"/>
        <w:numPr>
          <w:ilvl w:val="0"/>
          <w:numId w:val="2"/>
        </w:numPr>
        <w:spacing w:before="60" w:after="60"/>
      </w:pPr>
      <w:r>
        <w:rPr>
          <w:rFonts w:ascii="Arial" w:cs="Arial" w:eastAsia="Arial" w:hAnsi="Arial"/>
          <w:sz w:val="22"/>
          <w:szCs w:val="22"/>
        </w:rPr>
        <w:t xml:space="preserve">To assess customer concentration and identify top revenue-contributing accounts.</w:t>
      </w:r>
    </w:p>
    <w:p>
      <w:pPr>
        <w:pStyle w:val="ListParagraph"/>
        <w:numPr>
          <w:ilvl w:val="0"/>
          <w:numId w:val="2"/>
        </w:numPr>
        <w:spacing w:before="60" w:after="60"/>
      </w:pPr>
      <w:r>
        <w:rPr>
          <w:rFonts w:ascii="Arial" w:cs="Arial" w:eastAsia="Arial" w:hAnsi="Arial"/>
          <w:sz w:val="22"/>
          <w:szCs w:val="22"/>
        </w:rPr>
        <w:t xml:space="preserve">To explore the statistical relationship between pricing and profitability using correlation analysis.</w:t>
      </w:r>
    </w:p>
    <w:p>
      <w:pPr>
        <w:spacing w:before="80" w:after="160"/>
      </w:pPr>
    </w:p>
    <w:p>
      <w:pPr>
        <w:pBdr>
          <w:bottom w:val="single" w:color="1F3864" w:sz="4" w:space="1"/>
        </w:pBdr>
        <w:spacing w:before="120" w:after="120"/>
      </w:pPr>
    </w:p>
    <w:p>
      <w:pPr>
        <w:pStyle w:val="Heading1"/>
        <w:spacing w:before="320" w:after="160"/>
      </w:pPr>
      <w:r>
        <w:rPr>
          <w:rFonts w:ascii="Arial" w:cs="Arial" w:eastAsia="Arial" w:hAnsi="Arial"/>
          <w:b/>
          <w:bCs/>
          <w:color w:val="FFFFFF"/>
          <w:sz w:val="32"/>
          <w:szCs w:val="32"/>
        </w:rPr>
        <w:t xml:space="preserve">5.  Dataset Description</w:t>
      </w:r>
    </w:p>
    <w:p>
      <w:pPr>
        <w:spacing w:before="160" w:after="120"/>
        <w:jc w:val="both"/>
      </w:pPr>
      <w:r>
        <w:rPr>
          <w:rFonts w:ascii="Arial" w:cs="Arial" w:eastAsia="Arial" w:hAnsi="Arial"/>
          <w:b w:val="false"/>
          <w:bCs w:val="false"/>
          <w:i w:val="false"/>
          <w:iCs w:val="false"/>
          <w:color w:val="000000"/>
          <w:sz w:val="22"/>
          <w:szCs w:val="22"/>
        </w:rPr>
        <w:t xml:space="preserve">The dataset is sourced from a single Excel workbook containing six inter-related worksheets. Each sheet contributes distinct dimensions to the analysis. Following all merge operations, the final analytical dataframe contains 64,104 rows and 29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Sheet / Table</w:t>
            </w:r>
          </w:p>
        </w:tc>
        <w:tc>
          <w:tcPr>
            <w:tcW w:type="dxa" w:w="2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Records</w:t>
            </w:r>
          </w:p>
        </w:tc>
        <w:tc>
          <w:tcPr>
            <w:tcW w:type="dxa" w:w="4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Key Attributes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Sales Orders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64,104</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OrderNumber, Channel, Quantity, Unit Price, Revenue, Cost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Customers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175</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Customer Index, Customer Names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Products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30</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Product Index, Product Name (Product 1 – Product 30)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Regions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994</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City, State, County, Lat/Lon, Population, Median Income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State Regions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49</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State Code, State Name, Region (South / West / Midwest / Northeast)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2017 Budgets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30</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Product Name, Budget Target (USD)</w:t>
            </w:r>
          </w:p>
        </w:tc>
      </w:tr>
    </w:tbl>
    <w:p>
      <w:pPr>
        <w:spacing w:before="120" w:after="160"/>
        <w:jc w:val="both"/>
      </w:pPr>
      <w:r>
        <w:rPr>
          <w:rFonts w:ascii="Arial" w:cs="Arial" w:eastAsia="Arial" w:hAnsi="Arial"/>
          <w:b w:val="false"/>
          <w:bCs w:val="false"/>
          <w:i w:val="false"/>
          <w:iCs w:val="false"/>
          <w:color w:val="000000"/>
          <w:sz w:val="22"/>
          <w:szCs w:val="22"/>
        </w:rPr>
        <w:t xml:space="preserve">The Sales Orders sheet forms the primary fact table, while Customers, Products, Regions, and State Regions serve as dimension tables. The 2017 Budgets sheet provides performance benchmarks applicable only to 2017 order records. Null values introduced by the budget join for non-2017 records were retained intentionally to preserve the full transaction history for multi-year trend analysis.</w:t>
      </w:r>
    </w:p>
    <w:p>
      <w:pPr>
        <w:pBdr>
          <w:bottom w:val="single" w:color="1F3864" w:sz="4" w:space="1"/>
        </w:pBdr>
        <w:spacing w:before="120" w:after="120"/>
      </w:pPr>
    </w:p>
    <w:p>
      <w:pPr>
        <w:pStyle w:val="Heading1"/>
        <w:spacing w:before="320" w:after="160"/>
      </w:pPr>
      <w:r>
        <w:rPr>
          <w:rFonts w:ascii="Arial" w:cs="Arial" w:eastAsia="Arial" w:hAnsi="Arial"/>
          <w:b/>
          <w:bCs/>
          <w:color w:val="FFFFFF"/>
          <w:sz w:val="32"/>
          <w:szCs w:val="32"/>
        </w:rPr>
        <w:t xml:space="preserve">6.  Data Cleaning and Preparation</w:t>
      </w:r>
    </w:p>
    <w:p>
      <w:pPr>
        <w:pStyle w:val="Heading2"/>
        <w:spacing w:before="240" w:after="120"/>
      </w:pPr>
      <w:r>
        <w:rPr>
          <w:rFonts w:ascii="Arial" w:cs="Arial" w:eastAsia="Arial" w:hAnsi="Arial"/>
          <w:b/>
          <w:bCs/>
          <w:color w:val="1F3864"/>
          <w:sz w:val="26"/>
          <w:szCs w:val="26"/>
        </w:rPr>
        <w:t xml:space="preserve">6.1  Missing Value Assessment</w:t>
      </w:r>
    </w:p>
    <w:p>
      <w:pPr>
        <w:spacing w:before="80" w:after="80"/>
        <w:jc w:val="both"/>
      </w:pPr>
      <w:r>
        <w:rPr>
          <w:rFonts w:ascii="Arial" w:cs="Arial" w:eastAsia="Arial" w:hAnsi="Arial"/>
          <w:b w:val="false"/>
          <w:bCs w:val="false"/>
          <w:i w:val="false"/>
          <w:iCs w:val="false"/>
          <w:color w:val="000000"/>
          <w:sz w:val="22"/>
          <w:szCs w:val="22"/>
        </w:rPr>
        <w:t xml:space="preserve">An initial null-value audit was conducted across all six source tables using the isnull().sum() method. The audit confirmed that all primary tables — Sales Orders, Customers, Products, Regions, and State Regions — contained zero missing values across all fields. The 2017 Budgets table was similarly complete. This data quality finding indicates that the source system maintains strong referential integrity and that no imputation strategy was required for the core transaction attributes.</w:t>
      </w:r>
    </w:p>
    <w:p>
      <w:pPr>
        <w:pStyle w:val="Heading2"/>
        <w:spacing w:before="240" w:after="120"/>
      </w:pPr>
      <w:r>
        <w:rPr>
          <w:rFonts w:ascii="Arial" w:cs="Arial" w:eastAsia="Arial" w:hAnsi="Arial"/>
          <w:b/>
          <w:bCs/>
          <w:color w:val="1F3864"/>
          <w:sz w:val="26"/>
          <w:szCs w:val="26"/>
        </w:rPr>
        <w:t xml:space="preserve">6.2  Table Integration and Merging</w:t>
      </w:r>
    </w:p>
    <w:p>
      <w:pPr>
        <w:spacing w:before="80" w:after="80"/>
        <w:jc w:val="both"/>
      </w:pPr>
      <w:r>
        <w:rPr>
          <w:rFonts w:ascii="Arial" w:cs="Arial" w:eastAsia="Arial" w:hAnsi="Arial"/>
          <w:b w:val="false"/>
          <w:bCs w:val="false"/>
          <w:i w:val="false"/>
          <w:iCs w:val="false"/>
          <w:color w:val="000000"/>
          <w:sz w:val="22"/>
          <w:szCs w:val="22"/>
        </w:rPr>
        <w:t xml:space="preserve">All six tables were integrated into a single analytical dataframe through a sequential left-merge strategy anchored on the Sales Orders table. The merge sequence proceeded as follows: Sales Orders were first joined to Customers on the Customer Name Index key, then to Products on the Product Description Index key, followed by Regions on the Delivery Region Index key, and State Regions on the state code. Finally, the 2017 Budgets sheet was joined on the product name. This approach preserved all 64,104 sales records while enriching each transaction with customer names, product labels, geographic coordinates, regional classifications, and budget benchmarks.</w:t>
      </w:r>
    </w:p>
    <w:p>
      <w:pPr>
        <w:pStyle w:val="Heading2"/>
        <w:spacing w:before="240" w:after="120"/>
      </w:pPr>
      <w:r>
        <w:rPr>
          <w:rFonts w:ascii="Arial" w:cs="Arial" w:eastAsia="Arial" w:hAnsi="Arial"/>
          <w:b/>
          <w:bCs/>
          <w:color w:val="1F3864"/>
          <w:sz w:val="26"/>
          <w:szCs w:val="26"/>
        </w:rPr>
        <w:t xml:space="preserve">6.3  Column Standardisation</w:t>
      </w:r>
    </w:p>
    <w:p>
      <w:pPr>
        <w:spacing w:before="80" w:after="80"/>
        <w:jc w:val="both"/>
      </w:pPr>
      <w:r>
        <w:rPr>
          <w:rFonts w:ascii="Arial" w:cs="Arial" w:eastAsia="Arial" w:hAnsi="Arial"/>
          <w:b w:val="false"/>
          <w:bCs w:val="false"/>
          <w:i w:val="false"/>
          <w:iCs w:val="false"/>
          <w:color w:val="000000"/>
          <w:sz w:val="22"/>
          <w:szCs w:val="22"/>
        </w:rPr>
        <w:t xml:space="preserve">Following the merge operations, all column names were converted to lowercase and whitespace-stripped using the str.strip().str.lower() method. Columns were subsequently renamed to snake_case format for consistency and programmatic ease: for example, 'OrderNumber' became order_number, 'Line Total' became revenue, and 'Total Unit Cost' became cost. Redundant index columns introduced through the merge operations — Customer Index, Product Index, region id, and State Code — were dropped using the drop() method. Duplicate columns arising from the merge were removed using df.loc[:, ~df.columns.duplicated()].</w:t>
      </w:r>
    </w:p>
    <w:p>
      <w:pPr>
        <w:pStyle w:val="Heading2"/>
        <w:spacing w:before="240" w:after="120"/>
      </w:pPr>
      <w:r>
        <w:rPr>
          <w:rFonts w:ascii="Arial" w:cs="Arial" w:eastAsia="Arial" w:hAnsi="Arial"/>
          <w:b/>
          <w:bCs/>
          <w:color w:val="1F3864"/>
          <w:sz w:val="26"/>
          <w:szCs w:val="26"/>
        </w:rPr>
        <w:t xml:space="preserve">6.4  Data Type Conversion</w:t>
      </w:r>
    </w:p>
    <w:p>
      <w:pPr>
        <w:spacing w:before="80" w:after="80"/>
        <w:jc w:val="both"/>
      </w:pPr>
      <w:r>
        <w:rPr>
          <w:rFonts w:ascii="Arial" w:cs="Arial" w:eastAsia="Arial" w:hAnsi="Arial"/>
          <w:b w:val="false"/>
          <w:bCs w:val="false"/>
          <w:i w:val="false"/>
          <w:iCs w:val="false"/>
          <w:color w:val="000000"/>
          <w:sz w:val="22"/>
          <w:szCs w:val="22"/>
        </w:rPr>
        <w:t xml:space="preserve">The order_date column was converted from object type to datetime64 using pd.to_datetime(). This conversion was essential to support all subsequent time-based feature extraction and time-series visualisation. The df.info() output confirmed that all remaining numeric columns — unit_price, revenue, cost, lat, and lon — were correctly typed as float64, while order_quantity was stored as int64.</w:t>
      </w:r>
    </w:p>
    <w:p>
      <w:pPr>
        <w:pStyle w:val="Heading2"/>
        <w:spacing w:before="240" w:after="120"/>
      </w:pPr>
      <w:r>
        <w:rPr>
          <w:rFonts w:ascii="Arial" w:cs="Arial" w:eastAsia="Arial" w:hAnsi="Arial"/>
          <w:b/>
          <w:bCs/>
          <w:color w:val="1F3864"/>
          <w:sz w:val="26"/>
          <w:szCs w:val="26"/>
        </w:rPr>
        <w:t xml:space="preserve">6.5  Feature Engineering</w:t>
      </w:r>
    </w:p>
    <w:p>
      <w:pPr>
        <w:spacing w:before="80" w:after="80"/>
        <w:jc w:val="both"/>
      </w:pPr>
      <w:r>
        <w:rPr>
          <w:rFonts w:ascii="Arial" w:cs="Arial" w:eastAsia="Arial" w:hAnsi="Arial"/>
          <w:b w:val="false"/>
          <w:bCs w:val="false"/>
          <w:i w:val="false"/>
          <w:iCs w:val="false"/>
          <w:color w:val="000000"/>
          <w:sz w:val="22"/>
          <w:szCs w:val="22"/>
        </w:rPr>
        <w:t xml:space="preserve">Three new business metrics were derived to support profitability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Feature / Column</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total_cost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order_quantity × cost — total cost of goods for each transaction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profit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revenue − total_cost — gross profit per order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profit_margin_pct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(profit / revenue) × 100 — percentage margin per transaction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order_month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Monthly period extracted from order_date for time-series aggregation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budget (scoped)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2017 Budgets joined to records; set to NaN for all non-2017 orders</w:t>
            </w:r>
          </w:p>
        </w:tc>
      </w:tr>
    </w:tbl>
    <w:p>
      <w:pPr>
        <w:spacing w:before="120" w:after="160"/>
        <w:jc w:val="both"/>
      </w:pPr>
      <w:r>
        <w:rPr>
          <w:rFonts w:ascii="Arial" w:cs="Arial" w:eastAsia="Arial" w:hAnsi="Arial"/>
          <w:b w:val="false"/>
          <w:bCs w:val="false"/>
          <w:i w:val="false"/>
          <w:iCs w:val="false"/>
          <w:color w:val="000000"/>
          <w:sz w:val="22"/>
          <w:szCs w:val="22"/>
        </w:rPr>
        <w:t xml:space="preserve">The order_month column was extracted from order_date using the dt.to_period('M') method, producing a monthly period label (e.g., 2015-06) used for time-series groupby aggregations. Budget values were restricted to 2017 records only by setting all non-2017 budget fields to pd.NA, preventing misleading comparisons in year-on-year contexts.</w:t>
      </w:r>
    </w:p>
    <w:p>
      <w:pPr>
        <w:pBdr>
          <w:bottom w:val="single" w:color="1F3864" w:sz="4" w:space="1"/>
        </w:pBdr>
        <w:spacing w:before="120" w:after="120"/>
      </w:pPr>
    </w:p>
    <w:p>
      <w:pPr>
        <w:pStyle w:val="Heading1"/>
        <w:spacing w:before="320" w:after="160"/>
      </w:pPr>
      <w:r>
        <w:rPr>
          <w:rFonts w:ascii="Arial" w:cs="Arial" w:eastAsia="Arial" w:hAnsi="Arial"/>
          <w:b/>
          <w:bCs/>
          <w:color w:val="FFFFFF"/>
          <w:sz w:val="32"/>
          <w:szCs w:val="32"/>
        </w:rPr>
        <w:t xml:space="preserve">7.  Exploratory Data Analysis and Visualisations</w:t>
      </w:r>
    </w:p>
    <w:p>
      <w:pPr>
        <w:pStyle w:val="Heading2"/>
        <w:spacing w:before="240" w:after="120"/>
      </w:pPr>
      <w:r>
        <w:rPr>
          <w:rFonts w:ascii="Arial" w:cs="Arial" w:eastAsia="Arial" w:hAnsi="Arial"/>
          <w:b/>
          <w:bCs/>
          <w:color w:val="1F3864"/>
          <w:sz w:val="26"/>
          <w:szCs w:val="26"/>
        </w:rPr>
        <w:t xml:space="preserve">7.1  Monthly Sales Trend Analysis</w:t>
      </w:r>
    </w:p>
    <w:p>
      <w:pPr>
        <w:spacing w:before="80" w:after="80"/>
        <w:jc w:val="both"/>
      </w:pPr>
      <w:r>
        <w:rPr>
          <w:rFonts w:ascii="Arial" w:cs="Arial" w:eastAsia="Arial" w:hAnsi="Arial"/>
          <w:b w:val="false"/>
          <w:bCs w:val="false"/>
          <w:i w:val="false"/>
          <w:iCs w:val="false"/>
          <w:color w:val="000000"/>
          <w:sz w:val="22"/>
          <w:szCs w:val="22"/>
        </w:rPr>
        <w:t xml:space="preserve">Revenue was aggregated by calendar month across the full dataset using a groupby on the order_month period column. The resulting time-series was visualised as a line chart with circular markers, with the y-axis scaled to millions of USD for readability. The chart spans from January 2014 to February 2018, capturing approximately four full years of monthly trading activity.</w:t>
      </w:r>
    </w:p>
    <w:p>
      <w:pPr>
        <w:spacing w:before="80" w:after="80"/>
        <w:jc w:val="both"/>
      </w:pPr>
      <w:r>
        <w:rPr>
          <w:rFonts w:ascii="Arial" w:cs="Arial" w:eastAsia="Arial" w:hAnsi="Arial"/>
          <w:b w:val="false"/>
          <w:bCs w:val="false"/>
          <w:i w:val="false"/>
          <w:iCs w:val="false"/>
          <w:color w:val="000000"/>
          <w:sz w:val="22"/>
          <w:szCs w:val="22"/>
        </w:rPr>
        <w:t xml:space="preserve">The visualisation reveals a consistent seasonal pattern across years, with revenue peaks observable in mid-year months (approximately May through August) and a secondary uplift in November and December, consistent with holiday-period purchasing. Revenue troughs typically occur in January and February. The 2018 data was recognised as structurally incomplete — containing only two months — and was therefore excluded from year-on-year comparisons in order to avoid distorting trend analysis.</w:t>
      </w:r>
    </w:p>
    <w:p>
      <w:pPr>
        <w:pStyle w:val="Heading2"/>
        <w:spacing w:before="240" w:after="120"/>
      </w:pPr>
      <w:r>
        <w:rPr>
          <w:rFonts w:ascii="Arial" w:cs="Arial" w:eastAsia="Arial" w:hAnsi="Arial"/>
          <w:b/>
          <w:bCs/>
          <w:color w:val="1F3864"/>
          <w:sz w:val="26"/>
          <w:szCs w:val="26"/>
        </w:rPr>
        <w:t xml:space="preserve">7.2  Sales Channel Analysis</w:t>
      </w:r>
    </w:p>
    <w:p>
      <w:pPr>
        <w:spacing w:before="80" w:after="80"/>
        <w:jc w:val="both"/>
      </w:pPr>
      <w:r>
        <w:rPr>
          <w:rFonts w:ascii="Arial" w:cs="Arial" w:eastAsia="Arial" w:hAnsi="Arial"/>
          <w:b w:val="false"/>
          <w:bCs w:val="false"/>
          <w:i w:val="false"/>
          <w:iCs w:val="false"/>
          <w:color w:val="000000"/>
          <w:sz w:val="22"/>
          <w:szCs w:val="22"/>
        </w:rPr>
        <w:t xml:space="preserve">Sales channel revenue was grouped and visualised as a pie chart using the seaborn coolwarm palette. The three channels — Wholesale, Distributor, and Export — were compared by their share of total cumulative revenue across all years. Wholesale represents the dominant channel, accounting for the largest single revenue share. Distributor and Export channels contribute materially but at lower relative magnitudes.</w:t>
      </w:r>
    </w:p>
    <w:p>
      <w:pPr>
        <w:spacing w:before="80" w:after="80"/>
        <w:jc w:val="both"/>
      </w:pPr>
      <w:r>
        <w:rPr>
          <w:rFonts w:ascii="Arial" w:cs="Arial" w:eastAsia="Arial" w:hAnsi="Arial"/>
          <w:b w:val="false"/>
          <w:bCs w:val="false"/>
          <w:i w:val="false"/>
          <w:iCs w:val="false"/>
          <w:color w:val="000000"/>
          <w:sz w:val="22"/>
          <w:szCs w:val="22"/>
        </w:rPr>
        <w:t xml:space="preserve">This distribution reflects a business model that relies heavily on bulk institutional buyers (Wholesale), while maintaining supplementary reach through distribution networks and international export operations. The concentration of revenue in a single channel introduces strategic dependency risk that warrants diversification consideration.</w:t>
      </w:r>
    </w:p>
    <w:p>
      <w:pPr>
        <w:pStyle w:val="Heading2"/>
        <w:spacing w:before="240" w:after="120"/>
      </w:pPr>
      <w:r>
        <w:rPr>
          <w:rFonts w:ascii="Arial" w:cs="Arial" w:eastAsia="Arial" w:hAnsi="Arial"/>
          <w:b/>
          <w:bCs/>
          <w:color w:val="1F3864"/>
          <w:sz w:val="26"/>
          <w:szCs w:val="26"/>
        </w:rPr>
        <w:t xml:space="preserve">7.3  Product Performance Analysis</w:t>
      </w:r>
    </w:p>
    <w:p>
      <w:pPr>
        <w:spacing w:before="80" w:after="80"/>
        <w:jc w:val="both"/>
      </w:pPr>
      <w:r>
        <w:rPr>
          <w:rFonts w:ascii="Arial" w:cs="Arial" w:eastAsia="Arial" w:hAnsi="Arial"/>
          <w:b w:val="false"/>
          <w:bCs w:val="false"/>
          <w:i w:val="false"/>
          <w:iCs w:val="false"/>
          <w:color w:val="000000"/>
          <w:sz w:val="22"/>
          <w:szCs w:val="22"/>
        </w:rPr>
        <w:t xml:space="preserve">Two separate analyses were conducted to evaluate product-level performance. First, total revenue by product was computed and the top 10 products were visualised as a donut chart, showing each product's percentage contribution to the top-tier revenue pool. Second, average profit margin percentage was computed per product and the top 10 by margin were visualised as a horizontal bar chart.</w:t>
      </w:r>
    </w:p>
    <w:p>
      <w:pPr>
        <w:spacing w:before="80" w:after="80"/>
        <w:jc w:val="both"/>
      </w:pPr>
      <w:r>
        <w:rPr>
          <w:rFonts w:ascii="Arial" w:cs="Arial" w:eastAsia="Arial" w:hAnsi="Arial"/>
          <w:b w:val="false"/>
          <w:bCs w:val="false"/>
          <w:i w:val="false"/>
          <w:iCs w:val="false"/>
          <w:color w:val="000000"/>
          <w:sz w:val="22"/>
          <w:szCs w:val="22"/>
        </w:rPr>
        <w:t xml:space="preserve">The revenue analysis reveals high concentration among a small subset of the 30 available products, with the top 10 accounting for the majority of total revenue. Notably, the profit margin analysis demonstrates that high-revenue products do not uniformly deliver the highest margin percentages. Several products exhibit above-average margins despite modest absolute revenue, indicating that strategic promotion of such products could improve overall profitability without necessarily increasing top-line revenue.</w:t>
      </w:r>
    </w:p>
    <w:p>
      <w:pPr>
        <w:pStyle w:val="Heading2"/>
        <w:spacing w:before="240" w:after="120"/>
      </w:pPr>
      <w:r>
        <w:rPr>
          <w:rFonts w:ascii="Arial" w:cs="Arial" w:eastAsia="Arial" w:hAnsi="Arial"/>
          <w:b/>
          <w:bCs/>
          <w:color w:val="1F3864"/>
          <w:sz w:val="26"/>
          <w:szCs w:val="26"/>
        </w:rPr>
        <w:t xml:space="preserve">7.4  Average Order Value Distribution</w:t>
      </w:r>
    </w:p>
    <w:p>
      <w:pPr>
        <w:spacing w:before="80" w:after="80"/>
        <w:jc w:val="both"/>
      </w:pPr>
      <w:r>
        <w:rPr>
          <w:rFonts w:ascii="Arial" w:cs="Arial" w:eastAsia="Arial" w:hAnsi="Arial"/>
          <w:b w:val="false"/>
          <w:bCs w:val="false"/>
          <w:i w:val="false"/>
          <w:iCs w:val="false"/>
          <w:color w:val="000000"/>
          <w:sz w:val="22"/>
          <w:szCs w:val="22"/>
        </w:rPr>
        <w:t xml:space="preserve">Order value was computed by summing revenue per unique order_number. The resulting distribution was visualised as a histogram with 50 bins. The distribution is strongly right-skewed, with the majority of orders concentrated in lower value ranges and a long tail extending to high-value transactions.</w:t>
      </w:r>
    </w:p>
    <w:p>
      <w:pPr>
        <w:spacing w:before="80" w:after="80"/>
        <w:jc w:val="both"/>
      </w:pPr>
      <w:r>
        <w:rPr>
          <w:rFonts w:ascii="Arial" w:cs="Arial" w:eastAsia="Arial" w:hAnsi="Arial"/>
          <w:b w:val="false"/>
          <w:bCs w:val="false"/>
          <w:i w:val="false"/>
          <w:iCs w:val="false"/>
          <w:color w:val="000000"/>
          <w:sz w:val="22"/>
          <w:szCs w:val="22"/>
        </w:rPr>
        <w:t xml:space="preserve">This pattern is typical of B2B sales environments where most transactions are routine replenishment orders of moderate value, while a smaller subset of strategic or bulk orders generates disproportionately high revenue. The skewness suggests that average order value is not a robust central tendency measure for this dataset; the median would be a more informative summary statistic. From a business perspective, identifying the drivers of high-value orders — whether product type, channel, or customer — could inform targeted account management strategies.</w:t>
      </w:r>
    </w:p>
    <w:p>
      <w:pPr>
        <w:pStyle w:val="Heading2"/>
        <w:spacing w:before="240" w:after="120"/>
      </w:pPr>
      <w:r>
        <w:rPr>
          <w:rFonts w:ascii="Arial" w:cs="Arial" w:eastAsia="Arial" w:hAnsi="Arial"/>
          <w:b/>
          <w:bCs/>
          <w:color w:val="1F3864"/>
          <w:sz w:val="26"/>
          <w:szCs w:val="26"/>
        </w:rPr>
        <w:t xml:space="preserve">7.5  Geographic Sales Analysis</w:t>
      </w:r>
    </w:p>
    <w:p>
      <w:pPr>
        <w:spacing w:before="80" w:after="80"/>
        <w:jc w:val="both"/>
      </w:pPr>
      <w:r>
        <w:rPr>
          <w:rFonts w:ascii="Arial" w:cs="Arial" w:eastAsia="Arial" w:hAnsi="Arial"/>
          <w:b w:val="false"/>
          <w:bCs w:val="false"/>
          <w:i w:val="false"/>
          <w:iCs w:val="false"/>
          <w:color w:val="000000"/>
          <w:sz w:val="22"/>
          <w:szCs w:val="22"/>
        </w:rPr>
        <w:t xml:space="preserve">Regional sales performance was analysed by grouping total revenue by the region field derived from the State Regions join. Revenue was expressed in millions of USD and visualised as a horizontal bar chart. The South region leads in total revenue, followed by the West. The Midwest and Northeast regions trail considerably, suggesting either lower customer density, weaker market penetration, or fewer total orders in those territories.</w:t>
      </w:r>
    </w:p>
    <w:p>
      <w:pPr>
        <w:spacing w:before="80" w:after="80"/>
        <w:jc w:val="both"/>
      </w:pPr>
      <w:r>
        <w:rPr>
          <w:rFonts w:ascii="Arial" w:cs="Arial" w:eastAsia="Arial" w:hAnsi="Arial"/>
          <w:b w:val="false"/>
          <w:bCs w:val="false"/>
          <w:i w:val="false"/>
          <w:iCs w:val="false"/>
          <w:color w:val="000000"/>
          <w:sz w:val="22"/>
          <w:szCs w:val="22"/>
        </w:rPr>
        <w:t xml:space="preserve">This geographic stratification has direct implications for resource allocation in sales force deployment, targeted marketing campaigns, and logistics infrastructure. Underperforming regions may represent growth opportunities if the underlying demand potential — proxied by population and median income data present in the Regions table — has not been fully captured.</w:t>
      </w:r>
    </w:p>
    <w:p>
      <w:pPr>
        <w:pStyle w:val="Heading2"/>
        <w:spacing w:before="240" w:after="120"/>
      </w:pPr>
      <w:r>
        <w:rPr>
          <w:rFonts w:ascii="Arial" w:cs="Arial" w:eastAsia="Arial" w:hAnsi="Arial"/>
          <w:b/>
          <w:bCs/>
          <w:color w:val="1F3864"/>
          <w:sz w:val="26"/>
          <w:szCs w:val="26"/>
        </w:rPr>
        <w:t xml:space="preserve">7.6  Customer Revenue Analysis</w:t>
      </w:r>
    </w:p>
    <w:p>
      <w:pPr>
        <w:spacing w:before="80" w:after="80"/>
        <w:jc w:val="both"/>
      </w:pPr>
      <w:r>
        <w:rPr>
          <w:rFonts w:ascii="Arial" w:cs="Arial" w:eastAsia="Arial" w:hAnsi="Arial"/>
          <w:b w:val="false"/>
          <w:bCs w:val="false"/>
          <w:i w:val="false"/>
          <w:iCs w:val="false"/>
          <w:color w:val="000000"/>
          <w:sz w:val="22"/>
          <w:szCs w:val="22"/>
        </w:rPr>
        <w:t xml:space="preserve">Customer-level revenue was aggregated from the customer_name field and sorted in descending order to identify top accounts. The analysis reveals significant revenue concentration among a small number of customer accounts. From 175 unique customers in the Customers dimension table, a relatively small cohort drives the majority of total revenue, a pattern consistent with a Pareto-type distribution.</w:t>
      </w:r>
    </w:p>
    <w:p>
      <w:pPr>
        <w:spacing w:before="80" w:after="80"/>
        <w:jc w:val="both"/>
      </w:pPr>
      <w:r>
        <w:rPr>
          <w:rFonts w:ascii="Arial" w:cs="Arial" w:eastAsia="Arial" w:hAnsi="Arial"/>
          <w:b w:val="false"/>
          <w:bCs w:val="false"/>
          <w:i w:val="false"/>
          <w:iCs w:val="false"/>
          <w:color w:val="000000"/>
          <w:sz w:val="22"/>
          <w:szCs w:val="22"/>
        </w:rPr>
        <w:t xml:space="preserve">This concentration dynamic carries both opportunity and risk. On the opportunity side, deepening relationships with high-value accounts through loyalty programmes, volume discounts, or dedicated account management could drive incremental revenue. On the risk side, the loss of one or two anchor customers could materially impact total revenue, highlighting the strategic importance of customer diversification.</w:t>
      </w:r>
    </w:p>
    <w:p>
      <w:pPr>
        <w:pStyle w:val="Heading2"/>
        <w:spacing w:before="240" w:after="120"/>
      </w:pPr>
      <w:r>
        <w:rPr>
          <w:rFonts w:ascii="Arial" w:cs="Arial" w:eastAsia="Arial" w:hAnsi="Arial"/>
          <w:b/>
          <w:bCs/>
          <w:color w:val="1F3864"/>
          <w:sz w:val="26"/>
          <w:szCs w:val="26"/>
        </w:rPr>
        <w:t xml:space="preserve">7.7  Pricing versus Profitability Analysis</w:t>
      </w:r>
    </w:p>
    <w:p>
      <w:pPr>
        <w:spacing w:before="80" w:after="80"/>
        <w:jc w:val="both"/>
      </w:pPr>
      <w:r>
        <w:rPr>
          <w:rFonts w:ascii="Arial" w:cs="Arial" w:eastAsia="Arial" w:hAnsi="Arial"/>
          <w:b w:val="false"/>
          <w:bCs w:val="false"/>
          <w:i w:val="false"/>
          <w:iCs w:val="false"/>
          <w:color w:val="000000"/>
          <w:sz w:val="22"/>
          <w:szCs w:val="22"/>
        </w:rPr>
        <w:t xml:space="preserve">The relationship between unit price and profit margin percentage was explored to determine whether higher-priced products systematically achieve better margin outcomes. The analysis involved examining the correlation between unit_price and profit_margin_pct across the transaction dataset.</w:t>
      </w:r>
    </w:p>
    <w:p>
      <w:pPr>
        <w:spacing w:before="80" w:after="80"/>
        <w:jc w:val="both"/>
      </w:pPr>
      <w:r>
        <w:rPr>
          <w:rFonts w:ascii="Arial" w:cs="Arial" w:eastAsia="Arial" w:hAnsi="Arial"/>
          <w:b w:val="false"/>
          <w:bCs w:val="false"/>
          <w:i w:val="false"/>
          <w:iCs w:val="false"/>
          <w:color w:val="000000"/>
          <w:sz w:val="22"/>
          <w:szCs w:val="22"/>
        </w:rPr>
        <w:t xml:space="preserve">The results indicate no strong linear relationship between unit price and profit margin. This finding suggests that profitability is not driven primarily by pricing levels but rather by cost management efficiency — that is, the ratio of total unit cost to revenue. Products with moderate price points can achieve high margins if their cost base is well-controlled, while premium-priced products may still deliver thin margins if unit costs are proportionally high.</w:t>
      </w:r>
    </w:p>
    <w:p>
      <w:pPr>
        <w:pStyle w:val="Heading2"/>
        <w:spacing w:before="240" w:after="120"/>
      </w:pPr>
      <w:r>
        <w:rPr>
          <w:rFonts w:ascii="Arial" w:cs="Arial" w:eastAsia="Arial" w:hAnsi="Arial"/>
          <w:b/>
          <w:bCs/>
          <w:color w:val="1F3864"/>
          <w:sz w:val="26"/>
          <w:szCs w:val="26"/>
        </w:rPr>
        <w:t xml:space="preserve">7.8  Correlation Analysis</w:t>
      </w:r>
    </w:p>
    <w:p>
      <w:pPr>
        <w:spacing w:before="80" w:after="80"/>
        <w:jc w:val="both"/>
      </w:pPr>
      <w:r>
        <w:rPr>
          <w:rFonts w:ascii="Arial" w:cs="Arial" w:eastAsia="Arial" w:hAnsi="Arial"/>
          <w:b w:val="false"/>
          <w:bCs w:val="false"/>
          <w:i w:val="false"/>
          <w:iCs w:val="false"/>
          <w:color w:val="000000"/>
          <w:sz w:val="22"/>
          <w:szCs w:val="22"/>
        </w:rPr>
        <w:t xml:space="preserve">A correlation matrix was computed across the primary numerical variables: revenue, cost, total_cost, profit, profit_margin_pct, order_quantity, and unit_price. As expected, revenue and cost exhibit strong positive correlation given their mathematical relationship. Profit correlates positively with revenue, reflecting that higher transaction values generally produce higher absolute profit. Profit margin percentage, however, shows weaker correlation with revenue, reinforcing the product-level finding that margin is driven by cost structure rather than scale of transaction.</w:t>
      </w:r>
    </w:p>
    <w:p>
      <w:pPr>
        <w:spacing w:before="80" w:after="160"/>
        <w:jc w:val="both"/>
      </w:pPr>
      <w:r>
        <w:rPr>
          <w:rFonts w:ascii="Arial" w:cs="Arial" w:eastAsia="Arial" w:hAnsi="Arial"/>
          <w:b w:val="false"/>
          <w:bCs w:val="false"/>
          <w:i w:val="false"/>
          <w:iCs w:val="false"/>
          <w:color w:val="000000"/>
          <w:sz w:val="22"/>
          <w:szCs w:val="22"/>
        </w:rPr>
        <w:t xml:space="preserve">Order quantity shows moderate positive correlation with revenue, while unit price shows a weaker and more variable relationship, consistent with a product portfolio spanning a range of price points and margin structures.</w:t>
      </w:r>
    </w:p>
    <w:p>
      <w:pPr>
        <w:pBdr>
          <w:bottom w:val="single" w:color="1F3864" w:sz="4" w:space="1"/>
        </w:pBdr>
        <w:spacing w:before="120" w:after="120"/>
      </w:pPr>
    </w:p>
    <w:p>
      <w:pPr>
        <w:pStyle w:val="Heading1"/>
        <w:spacing w:before="320" w:after="160"/>
      </w:pPr>
      <w:r>
        <w:rPr>
          <w:rFonts w:ascii="Arial" w:cs="Arial" w:eastAsia="Arial" w:hAnsi="Arial"/>
          <w:b/>
          <w:bCs/>
          <w:color w:val="FFFFFF"/>
          <w:sz w:val="32"/>
          <w:szCs w:val="32"/>
        </w:rPr>
        <w:t xml:space="preserve">8.  Key Insights and Findings</w:t>
      </w:r>
    </w:p>
    <w:p>
      <w:pPr>
        <w:spacing w:before="160" w:after="120"/>
        <w:jc w:val="both"/>
      </w:pPr>
      <w:r>
        <w:rPr>
          <w:rFonts w:ascii="Arial" w:cs="Arial" w:eastAsia="Arial" w:hAnsi="Arial"/>
          <w:b w:val="false"/>
          <w:bCs w:val="false"/>
          <w:i w:val="false"/>
          <w:iCs w:val="false"/>
          <w:color w:val="000000"/>
          <w:sz w:val="22"/>
          <w:szCs w:val="22"/>
        </w:rPr>
        <w:t xml:space="preserve">The following table summarises the most significant findings from the exploratory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Analysis Area</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Key Finding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Monthly Trend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Recurring mid-year sales peaks (May–August) and year-end uplift (November–December); 2018 data is incomplete (Jan–Feb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Product Revenue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Top 10 products contribute the majority of total revenue; revenue is concentrated across a small product set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Profit Margins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High-revenue products do not always deliver the highest margins; some mid-tier products achieve superior margin performance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Sales Channels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Wholesale dominates revenue contribution; Distributor and Export channels are secondary but strategically significant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Order Value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Distribution is right-skewed with the majority of orders in the lower value range; a small cohort of high-value orders drives disproportionate revenue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Regional Sales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The South and West regions lead in total revenue; the Midwest and Northeast represent growth opportunity markets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Customers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Top customers generate a disproportionate share of revenue, indicating concentration risk; the base is thin relative to 64,000+ transactions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Pricing &amp; Margin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 strong linear relationship between unit price and profit margin; margin efficiency depends on cost management, not pricing alone</w:t>
            </w:r>
          </w:p>
        </w:tc>
      </w:tr>
    </w:tbl>
    <w:p>
      <w:pPr>
        <w:spacing w:before="120" w:after="160"/>
      </w:pPr>
    </w:p>
    <w:p>
      <w:pPr>
        <w:pBdr>
          <w:bottom w:val="single" w:color="1F3864" w:sz="4" w:space="1"/>
        </w:pBdr>
        <w:spacing w:before="120" w:after="120"/>
      </w:pPr>
    </w:p>
    <w:p>
      <w:pPr>
        <w:pStyle w:val="Heading1"/>
        <w:spacing w:before="320" w:after="160"/>
      </w:pPr>
      <w:r>
        <w:rPr>
          <w:rFonts w:ascii="Arial" w:cs="Arial" w:eastAsia="Arial" w:hAnsi="Arial"/>
          <w:b/>
          <w:bCs/>
          <w:color w:val="FFFFFF"/>
          <w:sz w:val="32"/>
          <w:szCs w:val="32"/>
        </w:rPr>
        <w:t xml:space="preserve">9.  Business Recommendations</w:t>
      </w:r>
    </w:p>
    <w:p>
      <w:pPr>
        <w:spacing w:before="160" w:after="80"/>
        <w:jc w:val="both"/>
      </w:pPr>
      <w:r>
        <w:rPr>
          <w:rFonts w:ascii="Arial" w:cs="Arial" w:eastAsia="Arial" w:hAnsi="Arial"/>
          <w:b w:val="false"/>
          <w:bCs w:val="false"/>
          <w:i w:val="false"/>
          <w:iCs w:val="false"/>
          <w:color w:val="000000"/>
          <w:sz w:val="22"/>
          <w:szCs w:val="22"/>
        </w:rPr>
        <w:t xml:space="preserve">Based on the analytical findings, the following strategic recommendations are proposed for consideration by business stakeholders:</w:t>
      </w:r>
    </w:p>
    <w:p>
      <w:pPr>
        <w:pStyle w:val="Heading3"/>
        <w:spacing w:before="180" w:after="80"/>
      </w:pPr>
      <w:r>
        <w:rPr>
          <w:rFonts w:ascii="Arial" w:cs="Arial" w:eastAsia="Arial" w:hAnsi="Arial"/>
          <w:b/>
          <w:bCs/>
          <w:color w:val="1A6B72"/>
          <w:sz w:val="23"/>
          <w:szCs w:val="23"/>
        </w:rPr>
        <w:t xml:space="preserve">9.1  Seasonal Inventory and Promotional Planning</w:t>
      </w:r>
    </w:p>
    <w:p>
      <w:pPr>
        <w:spacing w:before="80" w:after="80"/>
        <w:jc w:val="both"/>
      </w:pPr>
      <w:r>
        <w:rPr>
          <w:rFonts w:ascii="Arial" w:cs="Arial" w:eastAsia="Arial" w:hAnsi="Arial"/>
          <w:b w:val="false"/>
          <w:bCs w:val="false"/>
          <w:i w:val="false"/>
          <w:iCs w:val="false"/>
          <w:color w:val="000000"/>
          <w:sz w:val="22"/>
          <w:szCs w:val="22"/>
        </w:rPr>
        <w:t xml:space="preserve">Given the consistent mid-year and year-end revenue peaks identified in the monthly trend analysis, the organisation should align inventory procurement, promotional campaigns, and sales team incentives with these demand cycles. Pre-peak inventory build-up could reduce fulfilment risk during high-demand months, while targeted promotions during trough months (January–February) could smooth revenue volatility.</w:t>
      </w:r>
    </w:p>
    <w:p>
      <w:pPr>
        <w:pStyle w:val="Heading3"/>
        <w:spacing w:before="180" w:after="80"/>
      </w:pPr>
      <w:r>
        <w:rPr>
          <w:rFonts w:ascii="Arial" w:cs="Arial" w:eastAsia="Arial" w:hAnsi="Arial"/>
          <w:b/>
          <w:bCs/>
          <w:color w:val="1A6B72"/>
          <w:sz w:val="23"/>
          <w:szCs w:val="23"/>
        </w:rPr>
        <w:t xml:space="preserve">9.2  Product Portfolio Rationalisation</w:t>
      </w:r>
    </w:p>
    <w:p>
      <w:pPr>
        <w:spacing w:before="80" w:after="80"/>
        <w:jc w:val="both"/>
      </w:pPr>
      <w:r>
        <w:rPr>
          <w:rFonts w:ascii="Arial" w:cs="Arial" w:eastAsia="Arial" w:hAnsi="Arial"/>
          <w:b w:val="false"/>
          <w:bCs w:val="false"/>
          <w:i w:val="false"/>
          <w:iCs w:val="false"/>
          <w:color w:val="000000"/>
          <w:sz w:val="22"/>
          <w:szCs w:val="22"/>
        </w:rPr>
        <w:t xml:space="preserve">The revenue concentration among the top 10 products suggests that the remaining 20 products in the portfolio contribute marginally to overall turnover. A structured review of low-revenue, low-margin products should be conducted to assess whether discontinuation, repositioning, or bundling with high-margin products would improve portfolio efficiency.</w:t>
      </w:r>
    </w:p>
    <w:p>
      <w:pPr>
        <w:pStyle w:val="Heading3"/>
        <w:spacing w:before="180" w:after="80"/>
      </w:pPr>
      <w:r>
        <w:rPr>
          <w:rFonts w:ascii="Arial" w:cs="Arial" w:eastAsia="Arial" w:hAnsi="Arial"/>
          <w:b/>
          <w:bCs/>
          <w:color w:val="1A6B72"/>
          <w:sz w:val="23"/>
          <w:szCs w:val="23"/>
        </w:rPr>
        <w:t xml:space="preserve">9.3  Channel Diversification</w:t>
      </w:r>
    </w:p>
    <w:p>
      <w:pPr>
        <w:spacing w:before="80" w:after="80"/>
        <w:jc w:val="both"/>
      </w:pPr>
      <w:r>
        <w:rPr>
          <w:rFonts w:ascii="Arial" w:cs="Arial" w:eastAsia="Arial" w:hAnsi="Arial"/>
          <w:b w:val="false"/>
          <w:bCs w:val="false"/>
          <w:i w:val="false"/>
          <w:iCs w:val="false"/>
          <w:color w:val="000000"/>
          <w:sz w:val="22"/>
          <w:szCs w:val="22"/>
        </w:rPr>
        <w:t xml:space="preserve">With Wholesale accounting for the dominant share of revenue, the business carries significant channel concentration risk. Investment in growing the Distributor and Export channels — through dedicated account management, incentive structures, or market development funds — would reduce this dependency and open access to new customer segments.</w:t>
      </w:r>
    </w:p>
    <w:p>
      <w:pPr>
        <w:pStyle w:val="Heading3"/>
        <w:spacing w:before="180" w:after="80"/>
      </w:pPr>
      <w:r>
        <w:rPr>
          <w:rFonts w:ascii="Arial" w:cs="Arial" w:eastAsia="Arial" w:hAnsi="Arial"/>
          <w:b/>
          <w:bCs/>
          <w:color w:val="1A6B72"/>
          <w:sz w:val="23"/>
          <w:szCs w:val="23"/>
        </w:rPr>
        <w:t xml:space="preserve">9.4  High-Value Order Targeting</w:t>
      </w:r>
    </w:p>
    <w:p>
      <w:pPr>
        <w:spacing w:before="80" w:after="80"/>
        <w:jc w:val="both"/>
      </w:pPr>
      <w:r>
        <w:rPr>
          <w:rFonts w:ascii="Arial" w:cs="Arial" w:eastAsia="Arial" w:hAnsi="Arial"/>
          <w:b w:val="false"/>
          <w:bCs w:val="false"/>
          <w:i w:val="false"/>
          <w:iCs w:val="false"/>
          <w:color w:val="000000"/>
          <w:sz w:val="22"/>
          <w:szCs w:val="22"/>
        </w:rPr>
        <w:t xml:space="preserve">The right-skewed order value distribution indicates that high-value orders are infrequent but impactful. Sales teams should be equipped with data-driven targeting tools to identify customers with the highest propensity for large-order placements, enabling more efficient pipeline management and revenue forecasting.</w:t>
      </w:r>
    </w:p>
    <w:p>
      <w:pPr>
        <w:pStyle w:val="Heading3"/>
        <w:spacing w:before="180" w:after="80"/>
      </w:pPr>
      <w:r>
        <w:rPr>
          <w:rFonts w:ascii="Arial" w:cs="Arial" w:eastAsia="Arial" w:hAnsi="Arial"/>
          <w:b/>
          <w:bCs/>
          <w:color w:val="1A6B72"/>
          <w:sz w:val="23"/>
          <w:szCs w:val="23"/>
        </w:rPr>
        <w:t xml:space="preserve">9.5  Regional Market Development</w:t>
      </w:r>
    </w:p>
    <w:p>
      <w:pPr>
        <w:spacing w:before="80" w:after="80"/>
        <w:jc w:val="both"/>
      </w:pPr>
      <w:r>
        <w:rPr>
          <w:rFonts w:ascii="Arial" w:cs="Arial" w:eastAsia="Arial" w:hAnsi="Arial"/>
          <w:b w:val="false"/>
          <w:bCs w:val="false"/>
          <w:i w:val="false"/>
          <w:iCs w:val="false"/>
          <w:color w:val="000000"/>
          <w:sz w:val="22"/>
          <w:szCs w:val="22"/>
        </w:rPr>
        <w:t xml:space="preserve">The Midwest and Northeast regions underperform relative to the South and West in total revenue contribution. A market opportunity assessment — drawing on the population and median income data available within the Regions table — should be conducted to determine whether underperformance reflects genuine low demand or insufficient sales coverage, and to prioritise regional investment accordingly.</w:t>
      </w:r>
    </w:p>
    <w:p>
      <w:pPr>
        <w:pStyle w:val="Heading3"/>
        <w:spacing w:before="180" w:after="80"/>
      </w:pPr>
      <w:r>
        <w:rPr>
          <w:rFonts w:ascii="Arial" w:cs="Arial" w:eastAsia="Arial" w:hAnsi="Arial"/>
          <w:b/>
          <w:bCs/>
          <w:color w:val="1A6B72"/>
          <w:sz w:val="23"/>
          <w:szCs w:val="23"/>
        </w:rPr>
        <w:t xml:space="preserve">9.6  Customer Concentration Risk Mitigation</w:t>
      </w:r>
    </w:p>
    <w:p>
      <w:pPr>
        <w:spacing w:before="80" w:after="160"/>
        <w:jc w:val="both"/>
      </w:pPr>
      <w:r>
        <w:rPr>
          <w:rFonts w:ascii="Arial" w:cs="Arial" w:eastAsia="Arial" w:hAnsi="Arial"/>
          <w:b w:val="false"/>
          <w:bCs w:val="false"/>
          <w:i w:val="false"/>
          <w:iCs w:val="false"/>
          <w:color w:val="000000"/>
          <w:sz w:val="22"/>
          <w:szCs w:val="22"/>
        </w:rPr>
        <w:t xml:space="preserve">Revenue concentration among a small number of key accounts introduces business continuity risk. A structured customer acquisition programme targeting mid-tier accounts — particularly in underpenetrated geographic regions — would broaden the revenue base and reduce dependency on anchor customers.</w:t>
      </w:r>
    </w:p>
    <w:p>
      <w:pPr>
        <w:pBdr>
          <w:bottom w:val="single" w:color="1F3864" w:sz="4" w:space="1"/>
        </w:pBdr>
        <w:spacing w:before="120" w:after="120"/>
      </w:pPr>
    </w:p>
    <w:p>
      <w:pPr>
        <w:pStyle w:val="Heading1"/>
        <w:spacing w:before="320" w:after="160"/>
      </w:pPr>
      <w:r>
        <w:rPr>
          <w:rFonts w:ascii="Arial" w:cs="Arial" w:eastAsia="Arial" w:hAnsi="Arial"/>
          <w:b/>
          <w:bCs/>
          <w:color w:val="FFFFFF"/>
          <w:sz w:val="32"/>
          <w:szCs w:val="32"/>
        </w:rPr>
        <w:t xml:space="preserve">10.  Conclusion</w:t>
      </w:r>
    </w:p>
    <w:p>
      <w:pPr>
        <w:spacing w:before="160" w:after="80"/>
        <w:jc w:val="both"/>
      </w:pPr>
      <w:r>
        <w:rPr>
          <w:rFonts w:ascii="Arial" w:cs="Arial" w:eastAsia="Arial" w:hAnsi="Arial"/>
          <w:b w:val="false"/>
          <w:bCs w:val="false"/>
          <w:i w:val="false"/>
          <w:iCs w:val="false"/>
          <w:color w:val="000000"/>
          <w:sz w:val="22"/>
          <w:szCs w:val="22"/>
        </w:rPr>
        <w:t xml:space="preserve">This report has demonstrated the application of structured Exploratory Data Analysis to a multi-year, multi-dimensional retail sales dataset. Through a systematic data preparation pipeline involving six table merges, column standardisation, feature engineering, and temporal filtering, a robust analytical dataframe was constructed and interrogated across seven distinct analytical dimensions.</w:t>
      </w:r>
    </w:p>
    <w:p>
      <w:pPr>
        <w:spacing w:before="80" w:after="80"/>
        <w:jc w:val="both"/>
      </w:pPr>
      <w:r>
        <w:rPr>
          <w:rFonts w:ascii="Arial" w:cs="Arial" w:eastAsia="Arial" w:hAnsi="Arial"/>
          <w:b w:val="false"/>
          <w:bCs w:val="false"/>
          <w:i w:val="false"/>
          <w:iCs w:val="false"/>
          <w:color w:val="000000"/>
          <w:sz w:val="22"/>
          <w:szCs w:val="22"/>
        </w:rPr>
        <w:t xml:space="preserve">The analysis uncovered meaningful patterns in seasonal demand, product and customer concentration, channel dependency, geographic variation, and the relationship between pricing and profitability. Collectively, these findings provide a data-driven foundation for strategic decisions across sales operations, marketing investment, product management, and customer relationship management.</w:t>
      </w:r>
    </w:p>
    <w:p>
      <w:pPr>
        <w:spacing w:before="80" w:after="160"/>
        <w:jc w:val="both"/>
      </w:pPr>
      <w:r>
        <w:rPr>
          <w:rFonts w:ascii="Arial" w:cs="Arial" w:eastAsia="Arial" w:hAnsi="Arial"/>
          <w:b w:val="false"/>
          <w:bCs w:val="false"/>
          <w:i w:val="false"/>
          <w:iCs w:val="false"/>
          <w:color w:val="000000"/>
          <w:sz w:val="22"/>
          <w:szCs w:val="22"/>
        </w:rPr>
        <w:t xml:space="preserve">The use of Python-based data science tools — Pandas, NumPy, Matplotlib, and Seaborn — within a reproducible Jupyter Notebook environment ensures that the analytical pipeline is transparent, auditable, and extensible. The findings presented in this report are intended to serve as the foundation for more advanced predictive modelling — including sales forecasting, customer segmentation, and churn prediction — in subsequent analytical phases.</w:t>
      </w:r>
    </w:p>
    <w:p>
      <w:pPr>
        <w:pBdr>
          <w:bottom w:val="single" w:color="1F3864" w:sz="4" w:space="1"/>
        </w:pBdr>
        <w:spacing w:before="120" w:after="120"/>
      </w:pPr>
    </w:p>
    <w:p>
      <w:pPr>
        <w:pStyle w:val="Heading1"/>
        <w:spacing w:before="320" w:after="160"/>
      </w:pPr>
      <w:r>
        <w:rPr>
          <w:rFonts w:ascii="Arial" w:cs="Arial" w:eastAsia="Arial" w:hAnsi="Arial"/>
          <w:b/>
          <w:bCs/>
          <w:color w:val="FFFFFF"/>
          <w:sz w:val="32"/>
          <w:szCs w:val="32"/>
        </w:rPr>
        <w:t xml:space="preserve">11.  Limitations and Future Work</w:t>
      </w:r>
    </w:p>
    <w:p>
      <w:pPr>
        <w:pStyle w:val="Heading2"/>
        <w:spacing w:before="240" w:after="120"/>
      </w:pPr>
      <w:r>
        <w:rPr>
          <w:rFonts w:ascii="Arial" w:cs="Arial" w:eastAsia="Arial" w:hAnsi="Arial"/>
          <w:b/>
          <w:bCs/>
          <w:color w:val="1F3864"/>
          <w:sz w:val="26"/>
          <w:szCs w:val="26"/>
        </w:rPr>
        <w:t xml:space="preserve">11.1  Limitations</w:t>
      </w:r>
    </w:p>
    <w:p>
      <w:pPr>
        <w:spacing w:before="160" w:after="80"/>
        <w:jc w:val="both"/>
      </w:pPr>
      <w:r>
        <w:rPr>
          <w:rFonts w:ascii="Arial" w:cs="Arial" w:eastAsia="Arial" w:hAnsi="Arial"/>
          <w:b w:val="false"/>
          <w:bCs w:val="false"/>
          <w:i w:val="false"/>
          <w:iCs w:val="false"/>
          <w:color w:val="000000"/>
          <w:sz w:val="22"/>
          <w:szCs w:val="22"/>
        </w:rPr>
        <w:t xml:space="preserve">Several limitations should be acknowledged in interpreting the findings of this study:</w:t>
      </w:r>
    </w:p>
    <w:p>
      <w:pPr>
        <w:pStyle w:val="ListParagraph"/>
        <w:numPr>
          <w:ilvl w:val="0"/>
          <w:numId w:val="2"/>
        </w:numPr>
        <w:spacing w:before="60" w:after="60"/>
      </w:pPr>
      <w:r>
        <w:rPr>
          <w:rFonts w:ascii="Arial" w:cs="Arial" w:eastAsia="Arial" w:hAnsi="Arial"/>
          <w:sz w:val="22"/>
          <w:szCs w:val="22"/>
        </w:rPr>
        <w:t xml:space="preserve">Incomplete 2018 Data: The dataset contains only January and February 2018 records, preventing full year-on-year comparison for the most recent period and potentially understating growth trends.</w:t>
      </w:r>
    </w:p>
    <w:p>
      <w:pPr>
        <w:pStyle w:val="ListParagraph"/>
        <w:numPr>
          <w:ilvl w:val="0"/>
          <w:numId w:val="2"/>
        </w:numPr>
        <w:spacing w:before="60" w:after="60"/>
      </w:pPr>
      <w:r>
        <w:rPr>
          <w:rFonts w:ascii="Arial" w:cs="Arial" w:eastAsia="Arial" w:hAnsi="Arial"/>
          <w:sz w:val="22"/>
          <w:szCs w:val="22"/>
        </w:rPr>
        <w:t xml:space="preserve">Anonymised Product Names: Products are labelled Product 1 through Product 30 with no category or attribute descriptors, limiting the ability to draw industry-specific conclusions from product performance patterns.</w:t>
      </w:r>
    </w:p>
    <w:p>
      <w:pPr>
        <w:pStyle w:val="ListParagraph"/>
        <w:numPr>
          <w:ilvl w:val="0"/>
          <w:numId w:val="2"/>
        </w:numPr>
        <w:spacing w:before="60" w:after="60"/>
      </w:pPr>
      <w:r>
        <w:rPr>
          <w:rFonts w:ascii="Arial" w:cs="Arial" w:eastAsia="Arial" w:hAnsi="Arial"/>
          <w:sz w:val="22"/>
          <w:szCs w:val="22"/>
        </w:rPr>
        <w:t xml:space="preserve">No Unit Economics Detail: The absence of variable versus fixed cost breakdowns means that profit margin calculations reflect gross margin only, without accounting for overhead allocation.</w:t>
      </w:r>
    </w:p>
    <w:p>
      <w:pPr>
        <w:pStyle w:val="ListParagraph"/>
        <w:numPr>
          <w:ilvl w:val="0"/>
          <w:numId w:val="2"/>
        </w:numPr>
        <w:spacing w:before="60" w:after="60"/>
      </w:pPr>
      <w:r>
        <w:rPr>
          <w:rFonts w:ascii="Arial" w:cs="Arial" w:eastAsia="Arial" w:hAnsi="Arial"/>
          <w:sz w:val="22"/>
          <w:szCs w:val="22"/>
        </w:rPr>
        <w:t xml:space="preserve">Currency Uniformity: All transactions are denominated in USD. While appropriate for this dataset, a multi-currency dataset would require exchange-rate normalisation for accurate revenue comparison.</w:t>
      </w:r>
    </w:p>
    <w:p>
      <w:pPr>
        <w:pStyle w:val="ListParagraph"/>
        <w:numPr>
          <w:ilvl w:val="0"/>
          <w:numId w:val="2"/>
        </w:numPr>
        <w:spacing w:before="60" w:after="60"/>
      </w:pPr>
      <w:r>
        <w:rPr>
          <w:rFonts w:ascii="Arial" w:cs="Arial" w:eastAsia="Arial" w:hAnsi="Arial"/>
          <w:sz w:val="22"/>
          <w:szCs w:val="22"/>
        </w:rPr>
        <w:t xml:space="preserve">Static Geographic Analysis: The analysis treats geographic regions as static constructs and does not account for changes in sales coverage, customer base, or macroeconomic conditions across the analysis period.</w:t>
      </w:r>
    </w:p>
    <w:p>
      <w:pPr>
        <w:pStyle w:val="Heading2"/>
        <w:spacing w:before="240" w:after="120"/>
      </w:pPr>
      <w:r>
        <w:rPr>
          <w:rFonts w:ascii="Arial" w:cs="Arial" w:eastAsia="Arial" w:hAnsi="Arial"/>
          <w:b/>
          <w:bCs/>
          <w:color w:val="1F3864"/>
          <w:sz w:val="26"/>
          <w:szCs w:val="26"/>
        </w:rPr>
        <w:t xml:space="preserve">11.2  Future Work</w:t>
      </w:r>
    </w:p>
    <w:p>
      <w:pPr>
        <w:spacing w:before="80" w:after="80"/>
        <w:jc w:val="both"/>
      </w:pPr>
      <w:r>
        <w:rPr>
          <w:rFonts w:ascii="Arial" w:cs="Arial" w:eastAsia="Arial" w:hAnsi="Arial"/>
          <w:b w:val="false"/>
          <w:bCs w:val="false"/>
          <w:i w:val="false"/>
          <w:iCs w:val="false"/>
          <w:color w:val="000000"/>
          <w:sz w:val="22"/>
          <w:szCs w:val="22"/>
        </w:rPr>
        <w:t xml:space="preserve">The following extensions would enhance the analytical value of this work:</w:t>
      </w:r>
    </w:p>
    <w:p>
      <w:pPr>
        <w:pStyle w:val="ListParagraph"/>
        <w:numPr>
          <w:ilvl w:val="0"/>
          <w:numId w:val="2"/>
        </w:numPr>
        <w:spacing w:before="60" w:after="60"/>
      </w:pPr>
      <w:r>
        <w:rPr>
          <w:rFonts w:ascii="Arial" w:cs="Arial" w:eastAsia="Arial" w:hAnsi="Arial"/>
          <w:sz w:val="22"/>
          <w:szCs w:val="22"/>
        </w:rPr>
        <w:t xml:space="preserve">Time-Series Forecasting: Apply ARIMA, Prophet, or LSTM models to the monthly sales trend data to generate short-to-medium term revenue forecasts.</w:t>
      </w:r>
    </w:p>
    <w:p>
      <w:pPr>
        <w:pStyle w:val="ListParagraph"/>
        <w:numPr>
          <w:ilvl w:val="0"/>
          <w:numId w:val="2"/>
        </w:numPr>
        <w:spacing w:before="60" w:after="60"/>
      </w:pPr>
      <w:r>
        <w:rPr>
          <w:rFonts w:ascii="Arial" w:cs="Arial" w:eastAsia="Arial" w:hAnsi="Arial"/>
          <w:sz w:val="22"/>
          <w:szCs w:val="22"/>
        </w:rPr>
        <w:t xml:space="preserve">Customer Segmentation: Conduct RFM (Recency, Frequency, Monetary) analysis and k-means clustering to segment the 175-customer base into actionable tiers for targeted relationship management.</w:t>
      </w:r>
    </w:p>
    <w:p>
      <w:pPr>
        <w:pStyle w:val="ListParagraph"/>
        <w:numPr>
          <w:ilvl w:val="0"/>
          <w:numId w:val="2"/>
        </w:numPr>
        <w:spacing w:before="60" w:after="60"/>
      </w:pPr>
      <w:r>
        <w:rPr>
          <w:rFonts w:ascii="Arial" w:cs="Arial" w:eastAsia="Arial" w:hAnsi="Arial"/>
          <w:sz w:val="22"/>
          <w:szCs w:val="22"/>
        </w:rPr>
        <w:t xml:space="preserve">Budget Variance Analysis: Extend the 2017 budget integration to produce a full budget-versus-actuals analysis at the product level, identifying over- and under-performing lines.</w:t>
      </w:r>
    </w:p>
    <w:p>
      <w:pPr>
        <w:pStyle w:val="ListParagraph"/>
        <w:numPr>
          <w:ilvl w:val="0"/>
          <w:numId w:val="2"/>
        </w:numPr>
        <w:spacing w:before="60" w:after="60"/>
      </w:pPr>
      <w:r>
        <w:rPr>
          <w:rFonts w:ascii="Arial" w:cs="Arial" w:eastAsia="Arial" w:hAnsi="Arial"/>
          <w:sz w:val="22"/>
          <w:szCs w:val="22"/>
        </w:rPr>
        <w:t xml:space="preserve">Geospatial Mapping: Leverage the latitude and longitude coordinates in the Regions table to produce choropleth maps of revenue density at the state and county level.</w:t>
      </w:r>
    </w:p>
    <w:p>
      <w:pPr>
        <w:pStyle w:val="ListParagraph"/>
        <w:numPr>
          <w:ilvl w:val="0"/>
          <w:numId w:val="2"/>
        </w:numPr>
        <w:spacing w:before="60" w:after="60"/>
      </w:pPr>
      <w:r>
        <w:rPr>
          <w:rFonts w:ascii="Arial" w:cs="Arial" w:eastAsia="Arial" w:hAnsi="Arial"/>
          <w:sz w:val="22"/>
          <w:szCs w:val="22"/>
        </w:rPr>
        <w:t xml:space="preserve">Predictive Churn Modelling: Use transaction frequency and recency data to build a customer churn prediction model, enabling proactive retention interventions.</w:t>
      </w:r>
    </w:p>
    <w:p>
      <w:pPr>
        <w:spacing w:before="80" w:after="240"/>
      </w:pPr>
    </w:p>
    <w:p>
      <w:pPr>
        <w:pBdr>
          <w:bottom w:val="single" w:color="1F3864" w:sz="4" w:space="1"/>
        </w:pBdr>
        <w:spacing w:before="120" w:after="120"/>
      </w:pPr>
    </w:p>
    <w:p>
      <w:pPr>
        <w:spacing w:before="240" w:after="80"/>
        <w:jc w:val="center"/>
      </w:pPr>
      <w:r>
        <w:rPr>
          <w:rFonts w:ascii="Arial" w:cs="Arial" w:eastAsia="Arial" w:hAnsi="Arial"/>
          <w:i/>
          <w:iCs/>
          <w:color w:val="888888"/>
          <w:sz w:val="22"/>
          <w:szCs w:val="22"/>
        </w:rPr>
        <w:t xml:space="preserve">— End of Report —</w:t>
      </w:r>
    </w:p>
    <w:p>
      <w:pPr>
        <w:spacing w:before="40" w:after="40"/>
        <w:jc w:val="center"/>
      </w:pPr>
      <w:r>
        <w:rPr>
          <w:rFonts w:ascii="Arial" w:cs="Arial" w:eastAsia="Arial" w:hAnsi="Arial"/>
          <w:color w:val="AAAAAA"/>
          <w:sz w:val="18"/>
          <w:szCs w:val="18"/>
        </w:rPr>
        <w:t xml:space="preserve">Sales Data Exploratory Data Analysis  |  Python &amp; Jupyter Notebook</w:t>
      </w:r>
    </w:p>
    <w:sectPr>
      <w:footerReference w:type="default" r:id="rId6"/>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Sales Data EDA Report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1F3864" w:val="clear"/>
      <w:spacing w:before="320" w:after="160"/>
      <w:outlineLvl w:val="0"/>
    </w:pPr>
    <w:rPr>
      <w:rFonts w:ascii="Arial" w:cs="Arial" w:eastAsia="Arial" w:hAnsi="Arial"/>
      <w:b/>
      <w:bCs/>
      <w:color w:val="FFFFF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3864"/>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A6B7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2026-03-06T17:03:50.559Z</dcterms:created>
  <dcterms:modified xsi:type="dcterms:W3CDTF">2026-03-06T17:03:50.560Z</dcterms:modified>
</cp:coreProperties>
</file>

<file path=docProps/custom.xml><?xml version="1.0" encoding="utf-8"?>
<Properties xmlns="http://schemas.openxmlformats.org/officeDocument/2006/custom-properties" xmlns:vt="http://schemas.openxmlformats.org/officeDocument/2006/docPropsVTypes"/>
</file>