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trHeight w:val="2600" w:hRule="atLeast"/>
        </w:trPr>
        <w:tc>
          <w:tcPr>
            <w:tcW w:type="dxa" w:w="9524"/>
            <w:shd w:val="clear" w:color="auto" w:fill="0E4B43"/>
            <w:vAlign w:val="center"/>
          </w:tcPr>
          <w:p>
            <w:pPr>
              <w:spacing w:before="80"/>
            </w:pPr>
            <w:r>
              <w:rPr>
                <w:rFonts w:ascii="Carlito" w:hAnsi="Carlito"/>
                <w:b/>
                <w:color w:val="E8C27A"/>
                <w:sz w:val="21"/>
              </w:rPr>
              <w:t>MACHINE LEARNING  ·  CUSTOMER ANALYTICS</w:t>
            </w:r>
          </w:p>
          <w:p>
            <w:pPr>
              <w:spacing w:before="80" w:after="80"/>
            </w:pPr>
            <w:r>
              <w:rPr>
                <w:rFonts w:ascii="Caladea" w:hAnsi="Caladea"/>
                <w:b/>
                <w:color w:val="FFFFFF"/>
                <w:sz w:val="54"/>
              </w:rPr>
              <w:t>E-Commerce Customer Churn Prediction</w:t>
            </w:r>
          </w:p>
          <w:p>
            <w:pPr>
              <w:spacing w:after="120"/>
            </w:pPr>
            <w:r>
              <w:rPr>
                <w:rFonts w:ascii="Carlito" w:hAnsi="Carlito"/>
                <w:i/>
                <w:color w:val="DDE7E4"/>
                <w:sz w:val="25"/>
              </w:rPr>
              <w:t>An End-to-End, Leakage-Safe Classification &amp; Explainable AI System</w:t>
            </w:r>
          </w:p>
        </w:tc>
      </w:tr>
    </w:tbl>
    <w:p>
      <w:pPr>
        <w:spacing w:after="120"/>
      </w:pPr>
    </w:p>
    <w:p>
      <w:pPr>
        <w:spacing w:after="280"/>
      </w:pPr>
      <w:r>
        <w:rPr>
          <w:rFonts w:ascii="Carlito" w:hAnsi="Carlito"/>
          <w:b w:val="0"/>
          <w:i w:val="0"/>
          <w:color w:val="3A3A38"/>
          <w:sz w:val="22"/>
        </w:rPr>
        <w:t>An end-to-end, leakage-safe binary classification system for estimating customer churn</w:t>
        <w:br/>
        <w:t>risk — covering exploratory analysis, cost-sensitive imbalance handling, hyperparameter tuning,</w:t>
        <w:br/>
        <w:t>probability calibration, and SHAP-based explainability.</w:t>
      </w:r>
    </w:p>
    <w:p>
      <w:pPr>
        <w:spacing w:after="360"/>
      </w:pPr>
      <w:r>
        <w:rPr>
          <w:rFonts w:ascii="Carlito" w:hAnsi="Carlito"/>
          <w:b/>
          <w:color w:val="0E4B43"/>
          <w:sz w:val="18"/>
        </w:rPr>
        <w:t>▪ SUPERVISED LEARNING</w:t>
      </w:r>
      <w:r>
        <w:t xml:space="preserve">     </w:t>
      </w:r>
      <w:r>
        <w:rPr>
          <w:rFonts w:ascii="Carlito" w:hAnsi="Carlito"/>
          <w:b/>
          <w:color w:val="0E4B43"/>
          <w:sz w:val="18"/>
        </w:rPr>
        <w:t>▪ CLASS-IMBALANCE HANDLING</w:t>
      </w:r>
      <w:r>
        <w:t xml:space="preserve">     </w:t>
      </w:r>
      <w:r>
        <w:rPr>
          <w:rFonts w:ascii="Carlito" w:hAnsi="Carlito"/>
          <w:b/>
          <w:color w:val="0E4B43"/>
          <w:sz w:val="18"/>
        </w:rPr>
        <w:t>▪ PROBABILITY CALIBRATION</w:t>
      </w:r>
      <w:r>
        <w:t xml:space="preserve">     </w:t>
      </w:r>
      <w:r>
        <w:rPr>
          <w:rFonts w:ascii="Carlito" w:hAnsi="Carlito"/>
          <w:b/>
          <w:color w:val="0E4B43"/>
          <w:sz w:val="18"/>
        </w:rPr>
        <w:t>▪ EXPLAINABLE AI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6917"/>
      </w:tblGrid>
      <w:tr>
        <w:tc>
          <w:tcPr>
            <w:tcW w:type="dxa" w:w="2608"/>
          </w:tcPr>
          <w:p>
            <w:r/>
            <w:r>
              <w:rPr>
                <w:rFonts w:ascii="Carlito" w:hAnsi="Carlito"/>
                <w:b/>
                <w:color w:val="8A5C14"/>
                <w:sz w:val="17"/>
              </w:rPr>
              <w:t>PREPARED BY</w:t>
            </w:r>
          </w:p>
        </w:tc>
        <w:tc>
          <w:tcPr>
            <w:tcW w:type="dxa" w:w="6917"/>
          </w:tcPr>
          <w:p>
            <w:r/>
            <w:r>
              <w:rPr>
                <w:rFonts w:ascii="Carlito" w:hAnsi="Carlito"/>
                <w:color w:val="262624"/>
                <w:sz w:val="20"/>
              </w:rPr>
              <w:t>Rushikesh Khamgaonkar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rlito" w:hAnsi="Carlito"/>
                <w:b/>
                <w:color w:val="8A5C14"/>
                <w:sz w:val="17"/>
              </w:rPr>
              <w:t>DATE</w:t>
            </w:r>
          </w:p>
        </w:tc>
        <w:tc>
          <w:tcPr>
            <w:tcW w:type="dxa" w:w="6917"/>
          </w:tcPr>
          <w:p>
            <w:r/>
            <w:r>
              <w:rPr>
                <w:rFonts w:ascii="Carlito" w:hAnsi="Carlito"/>
                <w:color w:val="262624"/>
                <w:sz w:val="20"/>
              </w:rPr>
              <w:t>September 2026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rlito" w:hAnsi="Carlito"/>
                <w:b/>
                <w:color w:val="8A5C14"/>
                <w:sz w:val="17"/>
              </w:rPr>
              <w:t>DATASET</w:t>
            </w:r>
          </w:p>
        </w:tc>
        <w:tc>
          <w:tcPr>
            <w:tcW w:type="dxa" w:w="6917"/>
          </w:tcPr>
          <w:p>
            <w:r/>
            <w:r>
              <w:rPr>
                <w:rFonts w:ascii="Carlito" w:hAnsi="Carlito"/>
                <w:color w:val="262624"/>
                <w:sz w:val="20"/>
              </w:rPr>
              <w:t>E-Commerce Customer Churn Dataset  (51,706 records · 20 fields)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rlito" w:hAnsi="Carlito"/>
                <w:b/>
                <w:color w:val="8A5C14"/>
                <w:sz w:val="17"/>
              </w:rPr>
              <w:t>TARGET CLASSES</w:t>
            </w:r>
          </w:p>
        </w:tc>
        <w:tc>
          <w:tcPr>
            <w:tcW w:type="dxa" w:w="6917"/>
          </w:tcPr>
          <w:p>
            <w:r/>
            <w:r>
              <w:rPr>
                <w:rFonts w:ascii="Carlito" w:hAnsi="Carlito"/>
                <w:color w:val="262624"/>
                <w:sz w:val="20"/>
              </w:rPr>
              <w:t>2  —  Retained · Churned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rlito" w:hAnsi="Carlito"/>
                <w:b/>
                <w:color w:val="8A5C14"/>
                <w:sz w:val="17"/>
              </w:rPr>
              <w:t>FINAL MODEL</w:t>
            </w:r>
          </w:p>
        </w:tc>
        <w:tc>
          <w:tcPr>
            <w:tcW w:type="dxa" w:w="6917"/>
          </w:tcPr>
          <w:p>
            <w:r/>
            <w:r>
              <w:rPr>
                <w:rFonts w:ascii="Carlito" w:hAnsi="Carlito"/>
                <w:color w:val="262624"/>
                <w:sz w:val="20"/>
              </w:rPr>
              <w:t>Class-Weighted, Isotonic-Calibrated CatBoost Classifier</w:t>
            </w:r>
          </w:p>
        </w:tc>
      </w:tr>
    </w:tbl>
    <w:p>
      <w:pPr>
        <w:spacing w:before="600"/>
      </w:pPr>
    </w:p>
    <w:p>
      <w:pPr>
        <w:pBdr>
          <w:top w:val="single" w:sz="4" w:space="8" w:color="D8DED9"/>
        </w:pBdr>
      </w:pPr>
      <w:r>
        <w:rPr>
          <w:rFonts w:ascii="Carlito" w:hAnsi="Carlito"/>
          <w:i/>
          <w:color w:val="6B6C66"/>
          <w:sz w:val="16"/>
        </w:rPr>
        <w:t>Leakage-Free Pipeline · Stratified Cross-Validation · Cost-Sensitive Class Weighting · SHAP Interpretability · Flask-Ready Deployment</w:t>
      </w:r>
    </w:p>
    <w:p>
      <w:pPr>
        <w:pageBreakBefore/>
      </w:pPr>
    </w:p>
    <w:p>
      <w:pPr>
        <w:spacing w:after="40"/>
      </w:pPr>
      <w:r>
        <w:rPr>
          <w:rFonts w:ascii="Carlito" w:hAnsi="Carlito"/>
          <w:b/>
          <w:color w:val="C4881F"/>
          <w:sz w:val="21"/>
        </w:rPr>
        <w:t>CONTENTS</w:t>
      </w:r>
    </w:p>
    <w:p>
      <w:pPr>
        <w:pBdr>
          <w:bottom w:val="single" w:sz="20" w:space="8" w:color="0E4B43"/>
        </w:pBdr>
        <w:spacing w:after="280"/>
      </w:pPr>
      <w:r>
        <w:rPr>
          <w:rFonts w:ascii="Caladea" w:hAnsi="Caladea"/>
          <w:b/>
          <w:color w:val="0E4B43"/>
          <w:sz w:val="40"/>
        </w:rPr>
        <w:t>Table of Contents</w:t>
      </w:r>
    </w:p>
    <w:p>
      <w:pPr>
        <w:spacing w:after="60"/>
        <w:tabs>
          <w:tab w:val="right" w:leader="dot" w:pos="9350"/>
        </w:tabs>
      </w:pPr>
      <w:r>
        <w:rPr>
          <w:rFonts w:ascii="Carlito" w:hAnsi="Carlito"/>
          <w:b/>
          <w:color w:val="0E4B43"/>
          <w:sz w:val="20"/>
        </w:rPr>
        <w:t>1  Executive Summary</w:t>
      </w:r>
      <w:r>
        <w:tab/>
      </w:r>
      <w:r>
        <w:fldChar w:fldCharType="begin"/>
        <w:instrText xml:space="preserve">PAGEREF _Toc_1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1.1  Headline Result</w:t>
      </w:r>
      <w:r>
        <w:tab/>
      </w:r>
      <w:r>
        <w:fldChar w:fldCharType="begin"/>
        <w:instrText xml:space="preserve">PAGEREF _Toc_1_1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1.2  What This Project Demonstrates</w:t>
      </w:r>
      <w:r>
        <w:tab/>
      </w:r>
      <w:r>
        <w:fldChar w:fldCharType="begin"/>
        <w:instrText xml:space="preserve">PAGEREF _Toc_1_2  \h</w:instrText>
        <w:fldChar w:fldCharType="separate"/>
        <w:t/>
        <w:fldChar w:fldCharType="end"/>
      </w:r>
    </w:p>
    <w:p>
      <w:pPr>
        <w:spacing w:after="60"/>
        <w:tabs>
          <w:tab w:val="right" w:leader="dot" w:pos="9350"/>
        </w:tabs>
      </w:pPr>
      <w:r>
        <w:rPr>
          <w:rFonts w:ascii="Carlito" w:hAnsi="Carlito"/>
          <w:b/>
          <w:color w:val="0E4B43"/>
          <w:sz w:val="20"/>
        </w:rPr>
        <w:t>2  Project &amp; Business Understanding</w:t>
      </w:r>
      <w:r>
        <w:tab/>
      </w:r>
      <w:r>
        <w:fldChar w:fldCharType="begin"/>
        <w:instrText xml:space="preserve">PAGEREF _Toc_2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2.1  Project Introduction</w:t>
      </w:r>
      <w:r>
        <w:tab/>
      </w:r>
      <w:r>
        <w:fldChar w:fldCharType="begin"/>
        <w:instrText xml:space="preserve">PAGEREF _Toc_2_1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2.2  Business Objective</w:t>
      </w:r>
      <w:r>
        <w:tab/>
      </w:r>
      <w:r>
        <w:fldChar w:fldCharType="begin"/>
        <w:instrText xml:space="preserve">PAGEREF _Toc_2_2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2.3  Machine Learning Objective &amp; Problem Definition</w:t>
      </w:r>
      <w:r>
        <w:tab/>
      </w:r>
      <w:r>
        <w:fldChar w:fldCharType="begin"/>
        <w:instrText xml:space="preserve">PAGEREF _Toc_2_3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2.4  Project Scope</w:t>
      </w:r>
      <w:r>
        <w:tab/>
      </w:r>
      <w:r>
        <w:fldChar w:fldCharType="begin"/>
        <w:instrText xml:space="preserve">PAGEREF _Toc_2_4  \h</w:instrText>
        <w:fldChar w:fldCharType="separate"/>
        <w:t/>
        <w:fldChar w:fldCharType="end"/>
      </w:r>
    </w:p>
    <w:p>
      <w:pPr>
        <w:spacing w:after="60"/>
        <w:tabs>
          <w:tab w:val="right" w:leader="dot" w:pos="9350"/>
        </w:tabs>
      </w:pPr>
      <w:r>
        <w:rPr>
          <w:rFonts w:ascii="Carlito" w:hAnsi="Carlito"/>
          <w:b/>
          <w:color w:val="0E4B43"/>
          <w:sz w:val="20"/>
        </w:rPr>
        <w:t>3  Data Preparation &amp; Cleaning</w:t>
      </w:r>
      <w:r>
        <w:tab/>
      </w:r>
      <w:r>
        <w:fldChar w:fldCharType="begin"/>
        <w:instrText xml:space="preserve">PAGEREF _Toc_3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3.1  Dataset Loading &amp; Overview</w:t>
      </w:r>
      <w:r>
        <w:tab/>
      </w:r>
      <w:r>
        <w:fldChar w:fldCharType="begin"/>
        <w:instrText xml:space="preserve">PAGEREF _Toc_3_1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3.2  Raw Data Standardization</w:t>
      </w:r>
      <w:r>
        <w:tab/>
      </w:r>
      <w:r>
        <w:fldChar w:fldCharType="begin"/>
        <w:instrText xml:space="preserve">PAGEREF _Toc_3_2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3.3  Duplicate Record Handling</w:t>
      </w:r>
      <w:r>
        <w:tab/>
      </w:r>
      <w:r>
        <w:fldChar w:fldCharType="begin"/>
        <w:instrText xml:space="preserve">PAGEREF _Toc_3_3  \h</w:instrText>
        <w:fldChar w:fldCharType="separate"/>
        <w:t/>
        <w:fldChar w:fldCharType="end"/>
      </w:r>
    </w:p>
    <w:p>
      <w:pPr>
        <w:spacing w:after="60"/>
        <w:tabs>
          <w:tab w:val="right" w:leader="dot" w:pos="9350"/>
        </w:tabs>
      </w:pPr>
      <w:r>
        <w:rPr>
          <w:rFonts w:ascii="Carlito" w:hAnsi="Carlito"/>
          <w:b/>
          <w:color w:val="0E4B43"/>
          <w:sz w:val="20"/>
        </w:rPr>
        <w:t>4  Data Understanding</w:t>
      </w:r>
      <w:r>
        <w:tab/>
      </w:r>
      <w:r>
        <w:fldChar w:fldCharType="begin"/>
        <w:instrText xml:space="preserve">PAGEREF _Toc_4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4.1  Dataset Structure &amp; Initial Inspection</w:t>
      </w:r>
      <w:r>
        <w:tab/>
      </w:r>
      <w:r>
        <w:fldChar w:fldCharType="begin"/>
        <w:instrText xml:space="preserve">PAGEREF _Toc_4_1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4.2  Missing-Value Assessment</w:t>
      </w:r>
      <w:r>
        <w:tab/>
      </w:r>
      <w:r>
        <w:fldChar w:fldCharType="begin"/>
        <w:instrText xml:space="preserve">PAGEREF _Toc_4_2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4.3  Categorical Cardinality &amp; Feature Profile</w:t>
      </w:r>
      <w:r>
        <w:tab/>
      </w:r>
      <w:r>
        <w:fldChar w:fldCharType="begin"/>
        <w:instrText xml:space="preserve">PAGEREF _Toc_4_3  \h</w:instrText>
        <w:fldChar w:fldCharType="separate"/>
        <w:t/>
        <w:fldChar w:fldCharType="end"/>
      </w:r>
    </w:p>
    <w:p>
      <w:pPr>
        <w:spacing w:after="60"/>
        <w:tabs>
          <w:tab w:val="right" w:leader="dot" w:pos="9350"/>
        </w:tabs>
      </w:pPr>
      <w:r>
        <w:rPr>
          <w:rFonts w:ascii="Carlito" w:hAnsi="Carlito"/>
          <w:b/>
          <w:color w:val="0E4B43"/>
          <w:sz w:val="20"/>
        </w:rPr>
        <w:t>5  Exploratory Data Analysis</w:t>
      </w:r>
      <w:r>
        <w:tab/>
      </w:r>
      <w:r>
        <w:fldChar w:fldCharType="begin"/>
        <w:instrText xml:space="preserve">PAGEREF _Toc_5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5.1  Target Variable Distribution</w:t>
      </w:r>
      <w:r>
        <w:tab/>
      </w:r>
      <w:r>
        <w:fldChar w:fldCharType="begin"/>
        <w:instrText xml:space="preserve">PAGEREF _Toc_5_1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5.2  Numerical Feature Distributions</w:t>
      </w:r>
      <w:r>
        <w:tab/>
      </w:r>
      <w:r>
        <w:fldChar w:fldCharType="begin"/>
        <w:instrText xml:space="preserve">PAGEREF _Toc_5_2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5.3  Churn Behaviour vs Numerical Features</w:t>
      </w:r>
      <w:r>
        <w:tab/>
      </w:r>
      <w:r>
        <w:fldChar w:fldCharType="begin"/>
        <w:instrText xml:space="preserve">PAGEREF _Toc_5_3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5.4  Churn Rate Across Categorical Segments</w:t>
      </w:r>
      <w:r>
        <w:tab/>
      </w:r>
      <w:r>
        <w:fldChar w:fldCharType="begin"/>
        <w:instrText xml:space="preserve">PAGEREF _Toc_5_4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5.5  Feature Relationship &amp; Correlation Analysis</w:t>
      </w:r>
      <w:r>
        <w:tab/>
      </w:r>
      <w:r>
        <w:fldChar w:fldCharType="begin"/>
        <w:instrText xml:space="preserve">PAGEREF _Toc_5_5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5.6  Churn Rate by Tenure Band</w:t>
      </w:r>
      <w:r>
        <w:tab/>
      </w:r>
      <w:r>
        <w:fldChar w:fldCharType="begin"/>
        <w:instrText xml:space="preserve">PAGEREF _Toc_5_6  \h</w:instrText>
        <w:fldChar w:fldCharType="separate"/>
        <w:t/>
        <w:fldChar w:fldCharType="end"/>
      </w:r>
    </w:p>
    <w:p>
      <w:pPr>
        <w:spacing w:after="60"/>
        <w:tabs>
          <w:tab w:val="right" w:leader="dot" w:pos="9350"/>
        </w:tabs>
      </w:pPr>
      <w:r>
        <w:rPr>
          <w:rFonts w:ascii="Carlito" w:hAnsi="Carlito"/>
          <w:b/>
          <w:color w:val="0E4B43"/>
          <w:sz w:val="20"/>
        </w:rPr>
        <w:t>6  Feature Engineering</w:t>
      </w:r>
      <w:r>
        <w:tab/>
      </w:r>
      <w:r>
        <w:fldChar w:fldCharType="begin"/>
        <w:instrText xml:space="preserve">PAGEREF _Toc_6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6.1  Digital Engagement per Device</w:t>
      </w:r>
      <w:r>
        <w:tab/>
      </w:r>
      <w:r>
        <w:fldChar w:fldCharType="begin"/>
        <w:instrText xml:space="preserve">PAGEREF _Toc_6_1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6.2  Coupon Redemption Rate</w:t>
      </w:r>
      <w:r>
        <w:tab/>
      </w:r>
      <w:r>
        <w:fldChar w:fldCharType="begin"/>
        <w:instrText xml:space="preserve">PAGEREF _Toc_6_2  \h</w:instrText>
        <w:fldChar w:fldCharType="separate"/>
        <w:t/>
        <w:fldChar w:fldCharType="end"/>
      </w:r>
    </w:p>
    <w:p>
      <w:pPr>
        <w:spacing w:after="60"/>
        <w:tabs>
          <w:tab w:val="right" w:leader="dot" w:pos="9350"/>
        </w:tabs>
      </w:pPr>
      <w:r>
        <w:rPr>
          <w:rFonts w:ascii="Carlito" w:hAnsi="Carlito"/>
          <w:b/>
          <w:color w:val="0E4B43"/>
          <w:sz w:val="20"/>
        </w:rPr>
        <w:t>7  Data Preprocessing &amp; Train–Test Split</w:t>
      </w:r>
      <w:r>
        <w:tab/>
      </w:r>
      <w:r>
        <w:fldChar w:fldCharType="begin"/>
        <w:instrText xml:space="preserve">PAGEREF _Toc_7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7.1  Feature–Target Separation and Stratified Split</w:t>
      </w:r>
      <w:r>
        <w:tab/>
      </w:r>
      <w:r>
        <w:fldChar w:fldCharType="begin"/>
        <w:instrText xml:space="preserve">PAGEREF _Toc_7_1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7.2  Feature-Type Classification</w:t>
      </w:r>
      <w:r>
        <w:tab/>
      </w:r>
      <w:r>
        <w:fldChar w:fldCharType="begin"/>
        <w:instrText xml:space="preserve">PAGEREF _Toc_7_2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7.3  Model-Specific Preprocessing Pipelines</w:t>
      </w:r>
      <w:r>
        <w:tab/>
      </w:r>
      <w:r>
        <w:fldChar w:fldCharType="begin"/>
        <w:instrText xml:space="preserve">PAGEREF _Toc_7_3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7.4  Leakage-Safe Preprocessing Architecture</w:t>
      </w:r>
      <w:r>
        <w:tab/>
      </w:r>
      <w:r>
        <w:fldChar w:fldCharType="begin"/>
        <w:instrText xml:space="preserve">PAGEREF _Toc_7_4  \h</w:instrText>
        <w:fldChar w:fldCharType="separate"/>
        <w:t/>
        <w:fldChar w:fldCharType="end"/>
      </w:r>
    </w:p>
    <w:p>
      <w:pPr>
        <w:spacing w:after="60"/>
        <w:tabs>
          <w:tab w:val="right" w:leader="dot" w:pos="9350"/>
        </w:tabs>
      </w:pPr>
      <w:r>
        <w:rPr>
          <w:rFonts w:ascii="Carlito" w:hAnsi="Carlito"/>
          <w:b/>
          <w:color w:val="0E4B43"/>
          <w:sz w:val="20"/>
        </w:rPr>
        <w:t>8  Model Development &amp; Baseline Benchmarking</w:t>
      </w:r>
      <w:r>
        <w:tab/>
      </w:r>
      <w:r>
        <w:fldChar w:fldCharType="begin"/>
        <w:instrText xml:space="preserve">PAGEREF _Toc_8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8.1  Candidate Models &amp; Cross-Validation Strategy</w:t>
      </w:r>
      <w:r>
        <w:tab/>
      </w:r>
      <w:r>
        <w:fldChar w:fldCharType="begin"/>
        <w:instrText xml:space="preserve">PAGEREF _Toc_8_1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8.2  Baseline Cross-Validation Results</w:t>
      </w:r>
      <w:r>
        <w:tab/>
      </w:r>
      <w:r>
        <w:fldChar w:fldCharType="begin"/>
        <w:instrText xml:space="preserve">PAGEREF _Toc_8_2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8.3  Class-Imbalance Handling — Cost-Sensitive Weighting</w:t>
      </w:r>
      <w:r>
        <w:tab/>
      </w:r>
      <w:r>
        <w:fldChar w:fldCharType="begin"/>
        <w:instrText xml:space="preserve">PAGEREF _Toc_8_3  \h</w:instrText>
        <w:fldChar w:fldCharType="separate"/>
        <w:t/>
        <w:fldChar w:fldCharType="end"/>
      </w:r>
    </w:p>
    <w:p>
      <w:pPr>
        <w:spacing w:after="60"/>
        <w:tabs>
          <w:tab w:val="right" w:leader="dot" w:pos="9350"/>
        </w:tabs>
      </w:pPr>
      <w:r>
        <w:rPr>
          <w:rFonts w:ascii="Carlito" w:hAnsi="Carlito"/>
          <w:b/>
          <w:color w:val="0E4B43"/>
          <w:sz w:val="20"/>
        </w:rPr>
        <w:t>9  Hyperparameter Tuning &amp; Probability Calibration</w:t>
      </w:r>
      <w:r>
        <w:tab/>
      </w:r>
      <w:r>
        <w:fldChar w:fldCharType="begin"/>
        <w:instrText xml:space="preserve">PAGEREF _Toc_9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9.1  CatBoost Randomized Search</w:t>
      </w:r>
      <w:r>
        <w:tab/>
      </w:r>
      <w:r>
        <w:fldChar w:fldCharType="begin"/>
        <w:instrText xml:space="preserve">PAGEREF _Toc_9_1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9.2  Out-of-Fold Validation &amp; Isotonic Calibration</w:t>
      </w:r>
      <w:r>
        <w:tab/>
      </w:r>
      <w:r>
        <w:fldChar w:fldCharType="begin"/>
        <w:instrText xml:space="preserve">PAGEREF _Toc_9_2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9.3  Operating Threshold Selection</w:t>
      </w:r>
      <w:r>
        <w:tab/>
      </w:r>
      <w:r>
        <w:fldChar w:fldCharType="begin"/>
        <w:instrText xml:space="preserve">PAGEREF _Toc_9_3  \h</w:instrText>
        <w:fldChar w:fldCharType="separate"/>
        <w:t/>
        <w:fldChar w:fldCharType="end"/>
      </w:r>
    </w:p>
    <w:p>
      <w:pPr>
        <w:spacing w:after="60"/>
        <w:tabs>
          <w:tab w:val="right" w:leader="dot" w:pos="9350"/>
        </w:tabs>
      </w:pPr>
      <w:r>
        <w:rPr>
          <w:rFonts w:ascii="Carlito" w:hAnsi="Carlito"/>
          <w:b/>
          <w:color w:val="0E4B43"/>
          <w:sz w:val="20"/>
        </w:rPr>
        <w:t>10  Final Model Evaluation</w:t>
      </w:r>
      <w:r>
        <w:tab/>
      </w:r>
      <w:r>
        <w:fldChar w:fldCharType="begin"/>
        <w:instrText xml:space="preserve">PAGEREF _Toc_10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10.1  Held-Out Test Performance</w:t>
      </w:r>
      <w:r>
        <w:tab/>
      </w:r>
      <w:r>
        <w:fldChar w:fldCharType="begin"/>
        <w:instrText xml:space="preserve">PAGEREF _Toc_10_1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10.2  Confusion Matrix Analysis</w:t>
      </w:r>
      <w:r>
        <w:tab/>
      </w:r>
      <w:r>
        <w:fldChar w:fldCharType="begin"/>
        <w:instrText xml:space="preserve">PAGEREF _Toc_10_2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10.3  ROC-AUC and Precision–Recall Curves</w:t>
      </w:r>
      <w:r>
        <w:tab/>
      </w:r>
      <w:r>
        <w:fldChar w:fldCharType="begin"/>
        <w:instrText xml:space="preserve">PAGEREF _Toc_10_3  \h</w:instrText>
        <w:fldChar w:fldCharType="separate"/>
        <w:t/>
        <w:fldChar w:fldCharType="end"/>
      </w:r>
    </w:p>
    <w:p>
      <w:pPr>
        <w:spacing w:after="60"/>
        <w:tabs>
          <w:tab w:val="right" w:leader="dot" w:pos="9350"/>
        </w:tabs>
      </w:pPr>
      <w:r>
        <w:rPr>
          <w:rFonts w:ascii="Carlito" w:hAnsi="Carlito"/>
          <w:b/>
          <w:color w:val="0E4B43"/>
          <w:sz w:val="20"/>
        </w:rPr>
        <w:t>11  Model Explainability (SHAP)</w:t>
      </w:r>
      <w:r>
        <w:tab/>
      </w:r>
      <w:r>
        <w:fldChar w:fldCharType="begin"/>
        <w:instrText xml:space="preserve">PAGEREF _Toc_11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11.1  Global Feature Importance</w:t>
      </w:r>
      <w:r>
        <w:tab/>
      </w:r>
      <w:r>
        <w:fldChar w:fldCharType="begin"/>
        <w:instrText xml:space="preserve">PAGEREF _Toc_11_1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11.2  Directional Feature Effects (Summary Plot)</w:t>
      </w:r>
      <w:r>
        <w:tab/>
      </w:r>
      <w:r>
        <w:fldChar w:fldCharType="begin"/>
        <w:instrText xml:space="preserve">PAGEREF _Toc_11_2  \h</w:instrText>
        <w:fldChar w:fldCharType="separate"/>
        <w:t/>
        <w:fldChar w:fldCharType="end"/>
      </w:r>
    </w:p>
    <w:p>
      <w:pPr>
        <w:spacing w:after="60"/>
        <w:tabs>
          <w:tab w:val="right" w:leader="dot" w:pos="9350"/>
        </w:tabs>
      </w:pPr>
      <w:r>
        <w:rPr>
          <w:rFonts w:ascii="Carlito" w:hAnsi="Carlito"/>
          <w:b/>
          <w:color w:val="0E4B43"/>
          <w:sz w:val="20"/>
        </w:rPr>
        <w:t>12  Conclusion &amp; Business Recommendations</w:t>
      </w:r>
      <w:r>
        <w:tab/>
      </w:r>
      <w:r>
        <w:fldChar w:fldCharType="begin"/>
        <w:instrText xml:space="preserve">PAGEREF _Toc_12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12.1  Summary of Findings</w:t>
      </w:r>
      <w:r>
        <w:tab/>
      </w:r>
      <w:r>
        <w:fldChar w:fldCharType="begin"/>
        <w:instrText xml:space="preserve">PAGEREF _Toc_12_1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12.2  Final Recommendation</w:t>
      </w:r>
      <w:r>
        <w:tab/>
      </w:r>
      <w:r>
        <w:fldChar w:fldCharType="begin"/>
        <w:instrText xml:space="preserve">PAGEREF _Toc_12_2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12.3  Business Impact &amp; Deployment Considerations</w:t>
      </w:r>
      <w:r>
        <w:tab/>
      </w:r>
      <w:r>
        <w:fldChar w:fldCharType="begin"/>
        <w:instrText xml:space="preserve">PAGEREF _Toc_12_3  \h</w:instrText>
        <w:fldChar w:fldCharType="separate"/>
        <w:t/>
        <w:fldChar w:fldCharType="end"/>
      </w:r>
    </w:p>
    <w:p>
      <w:pPr>
        <w:spacing w:after="60"/>
        <w:ind w:left="283"/>
        <w:tabs>
          <w:tab w:val="right" w:leader="dot" w:pos="9350"/>
        </w:tabs>
      </w:pPr>
      <w:r>
        <w:rPr>
          <w:rFonts w:ascii="Carlito" w:hAnsi="Carlito"/>
          <w:color w:val="3A3A38"/>
          <w:sz w:val="19"/>
        </w:rPr>
        <w:t>12.4  Skills &amp; Techniques Demonstrated</w:t>
      </w:r>
      <w:r>
        <w:tab/>
      </w:r>
      <w:r>
        <w:fldChar w:fldCharType="begin"/>
        <w:instrText xml:space="preserve">PAGEREF _Toc_12_4  \h</w:instrText>
        <w:fldChar w:fldCharType="separate"/>
        <w:t/>
        <w:fldChar w:fldCharType="end"/>
      </w:r>
    </w:p>
    <w:p>
      <w:pPr>
        <w:spacing w:before="200"/>
      </w:pPr>
      <w:r>
        <w:rPr>
          <w:rFonts w:ascii="Carlito" w:hAnsi="Carlito"/>
          <w:i/>
          <w:color w:val="6B6C66"/>
          <w:sz w:val="16"/>
        </w:rPr>
        <w:t>Note: right-click this table and choose “Update Field” (or press F9) to refresh page numbers after opening in Word.</w:t>
      </w:r>
    </w:p>
    <w:p>
      <w:pPr>
        <w:sectPr>
          <w:pgSz w:w="11906" w:h="16838"/>
          <w:pgMar w:top="1474" w:right="1191" w:bottom="1304" w:left="1191" w:header="624" w:footer="624" w:gutter="0"/>
          <w:cols w:space="720"/>
          <w:docGrid w:linePitch="360"/>
        </w:sectPr>
      </w:pPr>
    </w:p>
    <w:p>
      <w:bookmarkStart w:id="101" w:name="_Toc_1"/>
      <w:pPr>
        <w:pageBreakBefore/>
        <w:spacing w:after="40"/>
      </w:pPr>
      <w:bookmarkEnd w:id="101"/>
      <w:r>
        <w:rPr>
          <w:rFonts w:ascii="Carlito" w:hAnsi="Carlito"/>
          <w:b/>
          <w:color w:val="C4881F"/>
          <w:sz w:val="21"/>
          <w:spacing w:val="30"/>
        </w:rPr>
        <w:t>SECTION 1</w:t>
      </w:r>
    </w:p>
    <w:p>
      <w:pPr>
        <w:spacing w:after="80"/>
        <w:pBdr>
          <w:bottom w:val="single" w:sz="20" w:space="8" w:color="0E4B43"/>
        </w:pBdr>
        <w:outlineLvl w:val="0"/>
      </w:pPr>
      <w:r>
        <w:rPr>
          <w:rFonts w:ascii="Caladea" w:hAnsi="Caladea"/>
          <w:b/>
          <w:color w:val="0E4B43"/>
          <w:sz w:val="42"/>
        </w:rPr>
        <w:t>Executive Summary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This report documents an end-to-end machine learning system that estimates the probability of customer</w:t>
        <w:br/>
        <w:t>churn for an e-commerce platform, using behavioural, engagement, satisfaction, transactional, and profile</w:t>
        <w:br/>
        <w:t>attributes recorded at the customer level. The system was built from a dataset of 51,706 raw customer records,</w:t>
        <w:br/>
        <w:t>reduced to 50,000 unique customers after duplicate removal, and spans 20 original fields describing tenure,</w:t>
        <w:br/>
        <w:t>access channel, spending, satisfaction, and order activity.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workflow follows a leakage-aware, nine-phase pipeline covering project definition, data cleaning,</w:t>
        <w:br/>
        <w:t>data understanding, exploratory data analysis, feature engineering, preprocessing, model development, model</w:t>
        <w:br/>
        <w:t>interpretation, and final results. Four classification algorithms — Logistic Regression, XGBoost, LightGBM, and</w:t>
        <w:br/>
        <w:t>CatBoost — were benchmarked with Stratified 5-Fold Cross-Validation, first as unweighted baselines and then</w:t>
        <w:br/>
        <w:t>under cost-sensitive class weighting, since the target is imbalanced at roughly 82.25% retained customers</w:t>
        <w:br/>
        <w:t>against 17.75% churned customers.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02" w:name="_Toc_1_1"/>
      <w:bookmarkEnd w:id="102"/>
      <w:r>
        <w:rPr>
          <w:rFonts w:ascii="Caladea" w:hAnsi="Caladea"/>
          <w:b/>
          <w:color w:val="0E4B43"/>
          <w:sz w:val="26"/>
        </w:rPr>
        <w:t>1.1  Headline Result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A hyperparameter-tuned CatBoost classifier, trained with cost-sensitive class weights and calibrated using</w:t>
        <w:br/>
        <w:t>Isotonic Regression, was selected as the deployment candidate. On a completely unseen, held-out test set of</w:t>
        <w:br/>
        <w:t xml:space="preserve">10,000 customers, the model reached a </w:t>
      </w:r>
      <w:r>
        <w:rPr>
          <w:rFonts w:ascii="Carlito" w:hAnsi="Carlito"/>
          <w:b/>
          <w:i w:val="0"/>
          <w:color w:val="262624"/>
          <w:sz w:val="21"/>
        </w:rPr>
        <w:t>ROC-AUC of 0.90</w:t>
      </w:r>
      <w:r>
        <w:rPr>
          <w:rFonts w:ascii="Carlito" w:hAnsi="Carlito"/>
          <w:b w:val="0"/>
          <w:i w:val="0"/>
          <w:color w:val="262624"/>
          <w:sz w:val="21"/>
        </w:rPr>
        <w:t xml:space="preserve"> and a </w:t>
      </w:r>
      <w:r>
        <w:rPr>
          <w:rFonts w:ascii="Carlito" w:hAnsi="Carlito"/>
          <w:b/>
          <w:i w:val="0"/>
          <w:color w:val="262624"/>
          <w:sz w:val="21"/>
        </w:rPr>
        <w:t>PR-AUC of 0.71</w:t>
      </w:r>
      <w:r>
        <w:rPr>
          <w:rFonts w:ascii="Carlito" w:hAnsi="Carlito"/>
          <w:b w:val="0"/>
          <w:i w:val="0"/>
          <w:color w:val="262624"/>
          <w:sz w:val="21"/>
        </w:rPr>
        <w:t>, confirming strong</w:t>
        <w:br/>
        <w:t>discrimination between churners and retained customers despite the imbalance. At its selected operating</w:t>
        <w:br/>
        <w:t xml:space="preserve">threshold of 0.30, the model achieved a </w:t>
      </w:r>
      <w:r>
        <w:rPr>
          <w:rFonts w:ascii="Carlito" w:hAnsi="Carlito"/>
          <w:b/>
          <w:i w:val="0"/>
          <w:color w:val="262624"/>
          <w:sz w:val="21"/>
        </w:rPr>
        <w:t>Balanced Accuracy of 0.79</w:t>
      </w:r>
      <w:r>
        <w:rPr>
          <w:rFonts w:ascii="Carlito" w:hAnsi="Carlito"/>
          <w:b w:val="0"/>
          <w:i w:val="0"/>
          <w:color w:val="262624"/>
          <w:sz w:val="21"/>
        </w:rPr>
        <w:t xml:space="preserve"> and a </w:t>
      </w:r>
      <w:r>
        <w:rPr>
          <w:rFonts w:ascii="Carlito" w:hAnsi="Carlito"/>
          <w:b/>
          <w:i w:val="0"/>
          <w:color w:val="262624"/>
          <w:sz w:val="21"/>
        </w:rPr>
        <w:t>Macro F1-score of 0.78</w:t>
      </w:r>
      <w:r>
        <w:rPr>
          <w:rFonts w:ascii="Carlito" w:hAnsi="Carlito"/>
          <w:b w:val="0"/>
          <w:i w:val="0"/>
          <w:color w:val="262624"/>
          <w:sz w:val="21"/>
        </w:rPr>
        <w:t>, correctly</w:t>
        <w:br/>
        <w:t>identifying 1,187 of 1,775 churned customers in the test set.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Beyond raw predictive performance, the project prioritised probability reliability and clinical-style</w:t>
        <w:br/>
        <w:t>interpretability appropriate for a customer-retention decision system. Isotonic calibration reduced the Brier</w:t>
        <w:br/>
        <w:t>Score from 0.12 to 0.08 on held-out out-of-fold predictions, and SHAP (SHapley Additive exPlanations) analysis</w:t>
        <w:br/>
        <w:t>confirmed that recency of activity, satisfaction, order frequency, and digital engagement are the dominant</w:t>
        <w:br/>
        <w:t>behavioural signals driving the model's churn predictions.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03" w:name="_Toc_1_2"/>
      <w:bookmarkEnd w:id="103"/>
      <w:r>
        <w:rPr>
          <w:rFonts w:ascii="Caladea" w:hAnsi="Caladea"/>
          <w:b/>
          <w:color w:val="0E4B43"/>
          <w:sz w:val="26"/>
        </w:rPr>
        <w:t>1.2  What This Project Demonstrates</w:t>
      </w:r>
    </w:p>
    <w:p>
      <w:pPr>
        <w:pStyle w:val="ListBullet"/>
        <w:spacing w:after="80"/>
        <w:ind w:left="340"/>
      </w:pPr>
      <w:r>
        <w:rPr>
          <w:rFonts w:ascii="Carlito" w:hAnsi="Carlito"/>
          <w:b/>
          <w:i w:val="0"/>
          <w:color w:val="262624"/>
          <w:sz w:val="20"/>
        </w:rPr>
        <w:t>End-to-end ML pipeline design</w:t>
      </w:r>
      <w:r>
        <w:rPr>
          <w:rFonts w:ascii="Carlito" w:hAnsi="Carlito"/>
          <w:b w:val="0"/>
          <w:i w:val="0"/>
          <w:color w:val="262624"/>
          <w:sz w:val="20"/>
        </w:rPr>
        <w:t xml:space="preserve"> — from raw Excel ingestion, through leakage-aware preprocessing, to a calibrated, deployable classifier.</w:t>
      </w:r>
    </w:p>
    <w:p>
      <w:pPr>
        <w:pStyle w:val="ListBullet"/>
        <w:spacing w:after="80"/>
        <w:ind w:left="340"/>
      </w:pPr>
      <w:r>
        <w:rPr>
          <w:rFonts w:ascii="Carlito" w:hAnsi="Carlito"/>
          <w:b/>
          <w:i w:val="0"/>
          <w:color w:val="262624"/>
          <w:sz w:val="20"/>
        </w:rPr>
        <w:t>Imbalanced-classification discipline</w:t>
      </w:r>
      <w:r>
        <w:rPr>
          <w:rFonts w:ascii="Carlito" w:hAnsi="Carlito"/>
          <w:b w:val="0"/>
          <w:i w:val="0"/>
          <w:color w:val="262624"/>
          <w:sz w:val="20"/>
        </w:rPr>
        <w:t xml:space="preserve"> — unweighted baselines, cost-sensitive class weighting, out-of-fold calibration, and constrained threshold selection, compared empirically rather than assumed.</w:t>
      </w:r>
    </w:p>
    <w:p>
      <w:pPr>
        <w:pStyle w:val="ListBullet"/>
        <w:spacing w:after="80"/>
        <w:ind w:left="340"/>
      </w:pPr>
      <w:r>
        <w:rPr>
          <w:rFonts w:ascii="Carlito" w:hAnsi="Carlito"/>
          <w:b/>
          <w:i w:val="0"/>
          <w:color w:val="262624"/>
          <w:sz w:val="20"/>
        </w:rPr>
        <w:t>Leakage-safe engineering</w:t>
      </w:r>
      <w:r>
        <w:rPr>
          <w:rFonts w:ascii="Carlito" w:hAnsi="Carlito"/>
          <w:b w:val="0"/>
          <w:i w:val="0"/>
          <w:color w:val="262624"/>
          <w:sz w:val="20"/>
        </w:rPr>
        <w:t xml:space="preserve"> — all imputation, scaling, and encoding steps are refit independently inside every cross-validation fold, and the test set is touched exactly once.</w:t>
      </w:r>
    </w:p>
    <w:p>
      <w:pPr>
        <w:pStyle w:val="ListBullet"/>
        <w:spacing w:after="80"/>
        <w:ind w:left="340"/>
      </w:pPr>
      <w:r>
        <w:rPr>
          <w:rFonts w:ascii="Carlito" w:hAnsi="Carlito"/>
          <w:b/>
          <w:i w:val="0"/>
          <w:color w:val="262624"/>
          <w:sz w:val="20"/>
        </w:rPr>
        <w:t>Feature engineering for behavioural data</w:t>
      </w:r>
      <w:r>
        <w:rPr>
          <w:rFonts w:ascii="Carlito" w:hAnsi="Carlito"/>
          <w:b w:val="0"/>
          <w:i w:val="0"/>
          <w:color w:val="262624"/>
          <w:sz w:val="20"/>
        </w:rPr>
        <w:t xml:space="preserve"> — digital engagement per linked device and a normalised coupon-redemption rate, both derived without reference to the target.</w:t>
      </w:r>
    </w:p>
    <w:p>
      <w:pPr>
        <w:pStyle w:val="ListBullet"/>
        <w:spacing w:after="80"/>
        <w:ind w:left="340"/>
      </w:pPr>
      <w:r>
        <w:rPr>
          <w:rFonts w:ascii="Carlito" w:hAnsi="Carlito"/>
          <w:b/>
          <w:i w:val="0"/>
          <w:color w:val="262624"/>
          <w:sz w:val="20"/>
        </w:rPr>
        <w:t>Breadth across model families</w:t>
      </w:r>
      <w:r>
        <w:rPr>
          <w:rFonts w:ascii="Carlito" w:hAnsi="Carlito"/>
          <w:b w:val="0"/>
          <w:i w:val="0"/>
          <w:color w:val="262624"/>
          <w:sz w:val="20"/>
        </w:rPr>
        <w:t xml:space="preserve"> — a linear baseline (Logistic Regression) alongside three gradient-boosted tree families (XGBoost, LightGBM, CatBoost).</w:t>
      </w:r>
    </w:p>
    <w:p>
      <w:pPr>
        <w:pStyle w:val="ListBullet"/>
        <w:spacing w:after="80"/>
        <w:ind w:left="340"/>
      </w:pPr>
      <w:r>
        <w:rPr>
          <w:rFonts w:ascii="Carlito" w:hAnsi="Carlito"/>
          <w:b/>
          <w:i w:val="0"/>
          <w:color w:val="262624"/>
          <w:sz w:val="20"/>
        </w:rPr>
        <w:t>Probability calibration &amp; threshold governance</w:t>
      </w:r>
      <w:r>
        <w:rPr>
          <w:rFonts w:ascii="Carlito" w:hAnsi="Carlito"/>
          <w:b w:val="0"/>
          <w:i w:val="0"/>
          <w:color w:val="262624"/>
          <w:sz w:val="20"/>
        </w:rPr>
        <w:t xml:space="preserve"> — Isotonic Regression calibration and a precision-constrained operating threshold, both selected exclusively from training-side data.</w:t>
      </w:r>
    </w:p>
    <w:p>
      <w:pPr>
        <w:pStyle w:val="ListBullet"/>
        <w:spacing w:after="80"/>
        <w:ind w:left="340"/>
      </w:pPr>
      <w:r>
        <w:rPr>
          <w:rFonts w:ascii="Carlito" w:hAnsi="Carlito"/>
          <w:b/>
          <w:i w:val="0"/>
          <w:color w:val="262624"/>
          <w:sz w:val="20"/>
        </w:rPr>
        <w:t>Explainable AI (XAI)</w:t>
      </w:r>
      <w:r>
        <w:rPr>
          <w:rFonts w:ascii="Carlito" w:hAnsi="Carlito"/>
          <w:b w:val="0"/>
          <w:i w:val="0"/>
          <w:color w:val="262624"/>
          <w:sz w:val="20"/>
        </w:rPr>
        <w:t xml:space="preserve"> — global and directional SHAP analysis translating a gradient-boosted model into transparent, business-readable churn drivers.</w:t>
      </w:r>
    </w:p>
    <w:p>
      <w:bookmarkStart w:id="104" w:name="_Toc_2"/>
      <w:pPr>
        <w:pageBreakBefore/>
        <w:spacing w:after="40"/>
      </w:pPr>
      <w:bookmarkEnd w:id="104"/>
      <w:r>
        <w:rPr>
          <w:rFonts w:ascii="Carlito" w:hAnsi="Carlito"/>
          <w:b/>
          <w:color w:val="C4881F"/>
          <w:sz w:val="21"/>
          <w:spacing w:val="30"/>
        </w:rPr>
        <w:t>SECTION 2</w:t>
      </w:r>
    </w:p>
    <w:p>
      <w:pPr>
        <w:spacing w:after="80"/>
        <w:pBdr>
          <w:bottom w:val="single" w:sz="20" w:space="8" w:color="0E4B43"/>
        </w:pBdr>
        <w:outlineLvl w:val="0"/>
      </w:pPr>
      <w:r>
        <w:rPr>
          <w:rFonts w:ascii="Caladea" w:hAnsi="Caladea"/>
          <w:b/>
          <w:color w:val="0E4B43"/>
          <w:sz w:val="42"/>
        </w:rPr>
        <w:t>Project &amp; Business Understanding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This phase establishes the business context, machine learning objective, prediction target, problem</w:t>
        <w:br/>
        <w:t>formulation, and success criteria for the e-commerce customer churn prediction system. The objective is to</w:t>
        <w:br/>
        <w:t>develop a reliable, leakage-free binary classification workflow using only customer information that is</w:t>
        <w:br/>
        <w:t>legitimately available at prediction time.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05" w:name="_Toc_2_1"/>
      <w:bookmarkEnd w:id="105"/>
      <w:r>
        <w:rPr>
          <w:rFonts w:ascii="Caladea" w:hAnsi="Caladea"/>
          <w:b/>
          <w:color w:val="0E4B43"/>
          <w:sz w:val="26"/>
        </w:rPr>
        <w:t>2.1  Project Introduction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Customer churn is a material business problem in e-commerce, since the loss of existing customers reduces</w:t>
        <w:br/>
        <w:t>future purchasing activity and long-run customer value. This project develops an end-to-end machine learning</w:t>
        <w:br/>
        <w:t>system to estimate customer churn risk using customer-level behavioural, engagement, satisfaction,</w:t>
        <w:br/>
        <w:t>transaction-related, and profile information. Throughout, the emphasis is on data quality, leakage prevention,</w:t>
        <w:br/>
        <w:t>reproducibility, predictive performance, probability reliability, and model interpretability.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06" w:name="_Toc_2_2"/>
      <w:bookmarkEnd w:id="106"/>
      <w:r>
        <w:rPr>
          <w:rFonts w:ascii="Caladea" w:hAnsi="Caladea"/>
          <w:b/>
          <w:color w:val="0E4B43"/>
          <w:sz w:val="26"/>
        </w:rPr>
        <w:t>2.2  Business Objective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business objective is to identify customers with elevated estimated churn risk so that retention</w:t>
        <w:br/>
        <w:t>activities can be prioritised. The predictive system is intended to support targeted customer engagement,</w:t>
        <w:br/>
        <w:t>prioritisation of retention effort, and more effective allocation of customer-retention resources across the</w:t>
        <w:br/>
        <w:t>customer base.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07" w:name="_Toc_2_3"/>
      <w:bookmarkEnd w:id="107"/>
      <w:r>
        <w:rPr>
          <w:rFonts w:ascii="Caladea" w:hAnsi="Caladea"/>
          <w:b/>
          <w:color w:val="0E4B43"/>
          <w:sz w:val="26"/>
        </w:rPr>
        <w:t>2.3  Machine Learning Objective &amp; Problem Definition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 xml:space="preserve">The machine learning objective is to predict the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Churned</w:t>
      </w:r>
      <w:r>
        <w:rPr>
          <w:rFonts w:ascii="Carlito" w:hAnsi="Carlito"/>
          <w:b w:val="0"/>
          <w:i w:val="0"/>
          <w:color w:val="262624"/>
          <w:sz w:val="21"/>
        </w:rPr>
        <w:t xml:space="preserve"> outcome using</w:t>
        <w:br/>
        <w:t>customer information available at prediction time, with the model estimating the probability that a customer</w:t>
        <w:br/>
        <w:t>belongs to the churn class. Only information legitimately available at the point of prediction is used, which is</w:t>
        <w:br/>
        <w:t>fundamental to the project's leakage-free modelling strategy.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 xml:space="preserve">The project is formulated as a </w:t>
      </w:r>
      <w:r>
        <w:rPr>
          <w:rFonts w:ascii="Carlito" w:hAnsi="Carlito"/>
          <w:b/>
          <w:i w:val="0"/>
          <w:color w:val="262624"/>
          <w:sz w:val="21"/>
        </w:rPr>
        <w:t>Supervised Learning → Binary Classification</w:t>
      </w:r>
      <w:r>
        <w:rPr>
          <w:rFonts w:ascii="Carlito" w:hAnsi="Carlito"/>
          <w:b w:val="0"/>
          <w:i w:val="0"/>
          <w:color w:val="262624"/>
          <w:sz w:val="21"/>
        </w:rPr>
        <w:t xml:space="preserve"> problem. The target</w:t>
        <w:br/>
        <w:t xml:space="preserve">variable is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Churned</w:t>
      </w:r>
      <w:r>
        <w:rPr>
          <w:rFonts w:ascii="Carlito" w:hAnsi="Carlito"/>
          <w:b w:val="0"/>
          <w:i w:val="0"/>
          <w:color w:val="262624"/>
          <w:sz w:val="21"/>
        </w:rPr>
        <w:t xml:space="preserve">, where </w:t>
      </w:r>
      <w:r>
        <w:rPr>
          <w:rFonts w:ascii="Carlito" w:hAnsi="Carlito"/>
          <w:b/>
          <w:i w:val="0"/>
          <w:color w:val="262624"/>
          <w:sz w:val="21"/>
        </w:rPr>
        <w:t>0</w:t>
      </w:r>
      <w:r>
        <w:rPr>
          <w:rFonts w:ascii="Carlito" w:hAnsi="Carlito"/>
          <w:b w:val="0"/>
          <w:i w:val="0"/>
          <w:color w:val="262624"/>
          <w:sz w:val="21"/>
        </w:rPr>
        <w:t xml:space="preserve"> denotes a customer who does not churn and </w:t>
      </w:r>
      <w:r>
        <w:rPr>
          <w:rFonts w:ascii="Carlito" w:hAnsi="Carlito"/>
          <w:b/>
          <w:i w:val="0"/>
          <w:color w:val="262624"/>
          <w:sz w:val="21"/>
        </w:rPr>
        <w:t>1</w:t>
      </w:r>
      <w:r>
        <w:rPr>
          <w:rFonts w:ascii="Carlito" w:hAnsi="Carlito"/>
          <w:b w:val="0"/>
          <w:i w:val="0"/>
          <w:color w:val="262624"/>
          <w:sz w:val="21"/>
        </w:rPr>
        <w:t xml:space="preserve"> denotes a</w:t>
        <w:br/>
        <w:t>customer who churns. The model's primary output is the estimated probability of the positive (churn) class,</w:t>
        <w:br/>
        <w:t>which is more informative than a bare binary label because it allows customers to be ranked by estimated risk</w:t>
        <w:br/>
        <w:t>for prioritisation.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08" w:name="_Toc_2_4"/>
      <w:bookmarkEnd w:id="108"/>
      <w:r>
        <w:rPr>
          <w:rFonts w:ascii="Caladea" w:hAnsi="Caladea"/>
          <w:b/>
          <w:color w:val="0E4B43"/>
          <w:sz w:val="26"/>
        </w:rPr>
        <w:t>2.4  Project Scope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project covers data understanding, exploratory data analysis, data-quality treatment, leakage-free</w:t>
        <w:br/>
        <w:t>preprocessing, feature engineering, model development, cross-validation, hyperparameter tuning, probability</w:t>
        <w:br/>
        <w:t>calibration, threshold optimisation, final evaluation, and explainability. Deployment of the finalised model</w:t>
        <w:br/>
        <w:t>through a live prediction service is treated as a subsequent implementation stage beyond this report.</w:t>
      </w:r>
    </w:p>
    <w:p>
      <w:bookmarkStart w:id="109" w:name="_Toc_3"/>
      <w:pPr>
        <w:pageBreakBefore/>
        <w:spacing w:after="40"/>
      </w:pPr>
      <w:bookmarkEnd w:id="109"/>
      <w:r>
        <w:rPr>
          <w:rFonts w:ascii="Carlito" w:hAnsi="Carlito"/>
          <w:b/>
          <w:color w:val="C4881F"/>
          <w:sz w:val="21"/>
          <w:spacing w:val="30"/>
        </w:rPr>
        <w:t>SECTION 3</w:t>
      </w:r>
    </w:p>
    <w:p>
      <w:pPr>
        <w:spacing w:after="80"/>
        <w:pBdr>
          <w:bottom w:val="single" w:sz="20" w:space="8" w:color="0E4B43"/>
        </w:pBdr>
        <w:outlineLvl w:val="0"/>
      </w:pPr>
      <w:r>
        <w:rPr>
          <w:rFonts w:ascii="Caladea" w:hAnsi="Caladea"/>
          <w:b/>
          <w:color w:val="0E4B43"/>
          <w:sz w:val="42"/>
        </w:rPr>
        <w:t>Data Preparation &amp; Cleaning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raw dataset is loaded and standardised for consistent downstream analysis. This stage handles</w:t>
        <w:br/>
        <w:t>deterministic data-quality corrections only; statistical transformations such as imputation, encoding, and</w:t>
        <w:br/>
        <w:t>scaling are deliberately deferred until after the train–test split, so that no data-driven parameter is ever</w:t>
        <w:br/>
        <w:t>learned from information outside the training fold.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10" w:name="_Toc_3_1"/>
      <w:bookmarkEnd w:id="110"/>
      <w:r>
        <w:rPr>
          <w:rFonts w:ascii="Caladea" w:hAnsi="Caladea"/>
          <w:b/>
          <w:color w:val="0E4B43"/>
          <w:sz w:val="26"/>
        </w:rPr>
        <w:t>3.1  Dataset Loading &amp; Overview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customer dataset was loaded from the source Excel workbook, with confirmed missing-value placeholders</w:t>
        <w:br/>
        <w:t>(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NA</w:t>
      </w:r>
      <w:r>
        <w:rPr>
          <w:rFonts w:ascii="Carlito" w:hAnsi="Carlito"/>
          <w:b w:val="0"/>
          <w:i w:val="0"/>
          <w:color w:val="262624"/>
          <w:sz w:val="21"/>
        </w:rPr>
        <w:t xml:space="preserve">,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N/A</w:t>
      </w:r>
      <w:r>
        <w:rPr>
          <w:rFonts w:ascii="Carlito" w:hAnsi="Carlito"/>
          <w:b w:val="0"/>
          <w:i w:val="0"/>
          <w:color w:val="262624"/>
          <w:sz w:val="21"/>
        </w:rPr>
        <w:t xml:space="preserve">,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-</w:t>
      </w:r>
      <w:r>
        <w:rPr>
          <w:rFonts w:ascii="Carlito" w:hAnsi="Carlito"/>
          <w:b w:val="0"/>
          <w:i w:val="0"/>
          <w:color w:val="262624"/>
          <w:sz w:val="21"/>
        </w:rPr>
        <w:t xml:space="preserve">,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--</w:t>
      </w:r>
      <w:r>
        <w:rPr>
          <w:rFonts w:ascii="Carlito" w:hAnsi="Carlito"/>
          <w:b w:val="0"/>
          <w:i w:val="0"/>
          <w:color w:val="262624"/>
          <w:sz w:val="21"/>
        </w:rPr>
        <w:t>)</w:t>
        <w:br/>
        <w:t xml:space="preserve">standardised to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NaN</w:t>
      </w:r>
      <w:r>
        <w:rPr>
          <w:rFonts w:ascii="Carlito" w:hAnsi="Carlito"/>
          <w:b w:val="0"/>
          <w:i w:val="0"/>
          <w:color w:val="262624"/>
          <w:sz w:val="21"/>
        </w:rPr>
        <w:t xml:space="preserve"> during ingestion.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/>
                <w:color w:val="0E4B43"/>
                <w:sz w:val="19"/>
              </w:rPr>
              <w:t>Raw records loaded</w:t>
            </w:r>
          </w:p>
        </w:tc>
        <w:tc>
          <w:tcPr>
            <w:tcW w:type="dxa" w:w="612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 w:val="0"/>
                <w:i w:val="0"/>
                <w:color w:val="262624"/>
                <w:sz w:val="19"/>
              </w:rPr>
              <w:t>51,706 rows × 20 columns</w:t>
            </w:r>
          </w:p>
        </w:tc>
      </w:tr>
      <w:tr>
        <w:tc>
          <w:tcPr>
            <w:tcW w:type="dxa" w:w="294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/>
                <w:color w:val="0E4B43"/>
                <w:sz w:val="19"/>
              </w:rPr>
              <w:t>Target variable</w:t>
            </w:r>
          </w:p>
        </w:tc>
        <w:tc>
          <w:tcPr>
            <w:tcW w:type="dxa" w:w="612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Liberation Mono" w:hAnsi="Liberation Mono"/>
                <w:i w:val="0"/>
                <w:color w:val="0B3A34"/>
                <w:sz w:val="18"/>
                <w:shd w:val="clear" w:color="auto" w:fill="F0F2F1"/>
              </w:rPr>
              <w:t>Churned</w:t>
            </w:r>
            <w:r>
              <w:rPr>
                <w:rFonts w:ascii="Carlito" w:hAnsi="Carlito"/>
                <w:b w:val="0"/>
                <w:i w:val="0"/>
                <w:color w:val="262624"/>
                <w:sz w:val="19"/>
              </w:rPr>
              <w:t xml:space="preserve">  (0 = retained, 1 = churned)</w:t>
            </w:r>
          </w:p>
        </w:tc>
      </w:tr>
      <w:tr>
        <w:tc>
          <w:tcPr>
            <w:tcW w:type="dxa" w:w="294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/>
                <w:color w:val="0E4B43"/>
                <w:sz w:val="19"/>
              </w:rPr>
              <w:t>Feature groups</w:t>
            </w:r>
          </w:p>
        </w:tc>
        <w:tc>
          <w:tcPr>
            <w:tcW w:type="dxa" w:w="612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 w:val="0"/>
                <w:i w:val="0"/>
                <w:color w:val="262624"/>
                <w:sz w:val="19"/>
              </w:rPr>
              <w:t>Demographic / Profile, Access &amp; Channel, Engagement, Transactional, Satisfaction</w:t>
            </w:r>
          </w:p>
        </w:tc>
      </w:tr>
      <w:tr>
        <w:tc>
          <w:tcPr>
            <w:tcW w:type="dxa" w:w="294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/>
                <w:color w:val="0E4B43"/>
                <w:sz w:val="19"/>
              </w:rPr>
              <w:t>Source</w:t>
            </w:r>
          </w:p>
        </w:tc>
        <w:tc>
          <w:tcPr>
            <w:tcW w:type="dxa" w:w="612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 w:val="0"/>
                <w:i w:val="0"/>
                <w:color w:val="262624"/>
                <w:sz w:val="19"/>
              </w:rPr>
              <w:t>E-Commerce Customer Churn Dataset (customer-level, synthetically generated)</w:t>
            </w:r>
          </w:p>
        </w:tc>
      </w:tr>
    </w:tbl>
    <w:p>
      <w:pPr>
        <w:spacing w:after="40"/>
      </w:pP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11" w:name="_Toc_3_2"/>
      <w:bookmarkEnd w:id="111"/>
      <w:r>
        <w:rPr>
          <w:rFonts w:ascii="Caladea" w:hAnsi="Caladea"/>
          <w:b/>
          <w:color w:val="0E4B43"/>
          <w:sz w:val="26"/>
        </w:rPr>
        <w:t>3.2  Raw Data Standardization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source dataset was standardised prior to Data Understanding and EDA, following a deterministic,</w:t>
        <w:br/>
        <w:t>target-blind sequence:</w:t>
      </w:r>
    </w:p>
    <w:p>
      <w:pPr>
        <w:pStyle w:val="ListBullet"/>
        <w:spacing w:after="80"/>
        <w:ind w:left="340"/>
      </w:pPr>
      <w:r>
        <w:rPr>
          <w:rFonts w:ascii="Carlito" w:hAnsi="Carlito"/>
          <w:b/>
          <w:i w:val="0"/>
          <w:color w:val="262624"/>
          <w:sz w:val="20"/>
        </w:rPr>
        <w:t>Preserve raw dataset</w:t>
      </w:r>
      <w:r>
        <w:rPr>
          <w:rFonts w:ascii="Carlito" w:hAnsi="Carlito"/>
          <w:b w:val="0"/>
          <w:i w:val="0"/>
          <w:color w:val="262624"/>
          <w:sz w:val="20"/>
        </w:rPr>
        <w:t xml:space="preserve"> — the original dataframe was retained as a reference before any modification.</w:t>
      </w:r>
    </w:p>
    <w:p>
      <w:pPr>
        <w:pStyle w:val="ListBullet"/>
        <w:spacing w:after="80"/>
        <w:ind w:left="340"/>
      </w:pPr>
      <w:r>
        <w:rPr>
          <w:rFonts w:ascii="Carlito" w:hAnsi="Carlito"/>
          <w:b/>
          <w:i w:val="0"/>
          <w:color w:val="262624"/>
          <w:sz w:val="20"/>
        </w:rPr>
        <w:t>Blank and whitespace-only values</w:t>
      </w:r>
      <w:r>
        <w:rPr>
          <w:rFonts w:ascii="Carlito" w:hAnsi="Carlito"/>
          <w:b w:val="0"/>
          <w:i w:val="0"/>
          <w:color w:val="262624"/>
          <w:sz w:val="20"/>
        </w:rPr>
        <w:t xml:space="preserve"> — whitespace-only text entries were converted to </w:t>
      </w:r>
      <w:r>
        <w:rPr>
          <w:rFonts w:ascii="Liberation Mono" w:hAnsi="Liberation Mono"/>
          <w:i w:val="0"/>
          <w:color w:val="0B3A34"/>
          <w:sz w:val="19"/>
          <w:shd w:val="clear" w:color="auto" w:fill="F0F2F1"/>
        </w:rPr>
        <w:t>NaN</w:t>
      </w:r>
      <w:r>
        <w:rPr>
          <w:rFonts w:ascii="Carlito" w:hAnsi="Carlito"/>
          <w:b w:val="0"/>
          <w:i w:val="0"/>
          <w:color w:val="262624"/>
          <w:sz w:val="20"/>
        </w:rPr>
        <w:t xml:space="preserve"> so they are not mistaken for a distinct category.</w:t>
      </w:r>
    </w:p>
    <w:p>
      <w:pPr>
        <w:pStyle w:val="ListBullet"/>
        <w:spacing w:after="80"/>
        <w:ind w:left="340"/>
      </w:pPr>
      <w:r>
        <w:rPr>
          <w:rFonts w:ascii="Carlito" w:hAnsi="Carlito"/>
          <w:b/>
          <w:i w:val="0"/>
          <w:color w:val="262624"/>
          <w:sz w:val="20"/>
        </w:rPr>
        <w:t>Leading / trailing whitespace</w:t>
      </w:r>
      <w:r>
        <w:rPr>
          <w:rFonts w:ascii="Carlito" w:hAnsi="Carlito"/>
          <w:b w:val="0"/>
          <w:i w:val="0"/>
          <w:color w:val="262624"/>
          <w:sz w:val="20"/>
        </w:rPr>
        <w:t xml:space="preserve"> — stripped from all text columns to prevent visually identical categories being treated as different levels.</w:t>
      </w:r>
    </w:p>
    <w:p>
      <w:pPr>
        <w:pStyle w:val="ListBullet"/>
        <w:spacing w:after="80"/>
        <w:ind w:left="340"/>
      </w:pPr>
      <w:r>
        <w:rPr>
          <w:rFonts w:ascii="Carlito" w:hAnsi="Carlito"/>
          <w:b/>
          <w:i w:val="0"/>
          <w:color w:val="262624"/>
          <w:sz w:val="20"/>
        </w:rPr>
        <w:t>Categorical review</w:t>
      </w:r>
      <w:r>
        <w:rPr>
          <w:rFonts w:ascii="Carlito" w:hAnsi="Carlito"/>
          <w:b w:val="0"/>
          <w:i w:val="0"/>
          <w:color w:val="262624"/>
          <w:sz w:val="20"/>
        </w:rPr>
        <w:t xml:space="preserve"> — unique values of every text column were inspected, surfacing inconsistent casing such as </w:t>
      </w:r>
      <w:r>
        <w:rPr>
          <w:rFonts w:ascii="Liberation Mono" w:hAnsi="Liberation Mono"/>
          <w:i w:val="0"/>
          <w:color w:val="0B3A34"/>
          <w:sz w:val="19"/>
          <w:shd w:val="clear" w:color="auto" w:fill="F0F2F1"/>
        </w:rPr>
        <w:t>'Female'</w:t>
      </w:r>
      <w:r>
        <w:rPr>
          <w:rFonts w:ascii="Carlito" w:hAnsi="Carlito"/>
          <w:b w:val="0"/>
          <w:i w:val="0"/>
          <w:color w:val="262624"/>
          <w:sz w:val="20"/>
        </w:rPr>
        <w:t xml:space="preserve">, </w:t>
      </w:r>
      <w:r>
        <w:rPr>
          <w:rFonts w:ascii="Liberation Mono" w:hAnsi="Liberation Mono"/>
          <w:i w:val="0"/>
          <w:color w:val="0B3A34"/>
          <w:sz w:val="19"/>
          <w:shd w:val="clear" w:color="auto" w:fill="F0F2F1"/>
        </w:rPr>
        <w:t>'FEMALE'</w:t>
      </w:r>
      <w:r>
        <w:rPr>
          <w:rFonts w:ascii="Carlito" w:hAnsi="Carlito"/>
          <w:b w:val="0"/>
          <w:i w:val="0"/>
          <w:color w:val="262624"/>
          <w:sz w:val="20"/>
        </w:rPr>
        <w:t xml:space="preserve">, and </w:t>
      </w:r>
      <w:r>
        <w:rPr>
          <w:rFonts w:ascii="Liberation Mono" w:hAnsi="Liberation Mono"/>
          <w:i w:val="0"/>
          <w:color w:val="0B3A34"/>
          <w:sz w:val="19"/>
          <w:shd w:val="clear" w:color="auto" w:fill="F0F2F1"/>
        </w:rPr>
        <w:t>'female'</w:t>
      </w:r>
      <w:r>
        <w:rPr>
          <w:rFonts w:ascii="Carlito" w:hAnsi="Carlito"/>
          <w:b w:val="0"/>
          <w:i w:val="0"/>
          <w:color w:val="262624"/>
          <w:sz w:val="20"/>
        </w:rPr>
        <w:t xml:space="preserve"> across Gender, Primary_Access_Device, Payment_Mode, Top_Category, and Marital_Status.</w:t>
      </w:r>
    </w:p>
    <w:p>
      <w:pPr>
        <w:pStyle w:val="ListBullet"/>
        <w:spacing w:after="80"/>
        <w:ind w:left="340"/>
      </w:pPr>
      <w:r>
        <w:rPr>
          <w:rFonts w:ascii="Carlito" w:hAnsi="Carlito"/>
          <w:b/>
          <w:i w:val="0"/>
          <w:color w:val="262624"/>
          <w:sz w:val="20"/>
        </w:rPr>
        <w:t>Categorical text standardisation</w:t>
      </w:r>
      <w:r>
        <w:rPr>
          <w:rFonts w:ascii="Carlito" w:hAnsi="Carlito"/>
          <w:b w:val="0"/>
          <w:i w:val="0"/>
          <w:color w:val="262624"/>
          <w:sz w:val="20"/>
        </w:rPr>
        <w:t xml:space="preserve"> — Primary_Access_Device, Gender, Top_Category, and Marital_Status were normalised to consistent title-case labels, consolidating equivalent categories without discarding any meaningful business label.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12" w:name="_Toc_3_3"/>
      <w:bookmarkEnd w:id="112"/>
      <w:r>
        <w:rPr>
          <w:rFonts w:ascii="Caladea" w:hAnsi="Caladea"/>
          <w:b/>
          <w:color w:val="0E4B43"/>
          <w:sz w:val="26"/>
        </w:rPr>
        <w:t>3.3  Duplicate Record Handling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Confirmed duplicate observations were removed before Data Understanding and EDA, to prevent repeated</w:t>
        <w:br/>
        <w:t>records from over-weighting subsequent statistics and model training.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3005"/>
      </w:tblGrid>
      <w:tr>
        <w:tc>
          <w:tcPr>
            <w:tcW w:type="dxa" w:w="6520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005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65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Exact duplicate rows identified</w:t>
            </w:r>
          </w:p>
        </w:tc>
        <w:tc>
          <w:tcPr>
            <w:tcW w:type="dxa" w:w="300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1,706</w:t>
            </w:r>
          </w:p>
        </w:tc>
      </w:tr>
      <w:tr>
        <w:tc>
          <w:tcPr>
            <w:tcW w:type="dxa" w:w="65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Records after de-duplication</w:t>
            </w:r>
          </w:p>
        </w:tc>
        <w:tc>
          <w:tcPr>
            <w:tcW w:type="dxa" w:w="300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50,000</w:t>
            </w:r>
          </w:p>
        </w:tc>
      </w:tr>
      <w:tr>
        <w:tc>
          <w:tcPr>
            <w:tcW w:type="dxa" w:w="65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Duplicate customer codes remaining after cleaning</w:t>
            </w:r>
          </w:p>
        </w:tc>
        <w:tc>
          <w:tcPr>
            <w:tcW w:type="dxa" w:w="300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OBSERVATION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Removing 1,706 exact duplicate rows (3.3% of the raw file) leaves a clean, uniquely-keyed</w:t>
        <w:br/>
        <w:t xml:space="preserve">customer table of 50,000 records with zero remaining duplicate </w:t>
      </w:r>
      <w:r>
        <w:rPr>
          <w:rFonts w:ascii="Liberation Mono" w:hAnsi="Liberation Mono"/>
          <w:i w:val="0"/>
          <w:color w:val="0B3A34"/>
          <w:sz w:val="18"/>
          <w:shd w:val="clear" w:color="auto" w:fill="F0F2F1"/>
        </w:rPr>
        <w:t>Customer_Code</w:t>
      </w:r>
      <w:r>
        <w:rPr>
          <w:rFonts w:ascii="Carlito" w:hAnsi="Carlito"/>
          <w:b w:val="0"/>
          <w:i w:val="0"/>
          <w:color w:val="262624"/>
          <w:sz w:val="19"/>
        </w:rPr>
        <w:t xml:space="preserve"> values —</w:t>
        <w:br/>
        <w:t>confirming the dataset is now suitable for one-row-per-customer analysis.</w:t>
      </w:r>
    </w:p>
    <w:p>
      <w:bookmarkStart w:id="113" w:name="_Toc_4"/>
      <w:pPr>
        <w:pageBreakBefore/>
        <w:spacing w:after="40"/>
      </w:pPr>
      <w:bookmarkEnd w:id="113"/>
      <w:r>
        <w:rPr>
          <w:rFonts w:ascii="Carlito" w:hAnsi="Carlito"/>
          <w:b/>
          <w:color w:val="C4881F"/>
          <w:sz w:val="21"/>
          <w:spacing w:val="30"/>
        </w:rPr>
        <w:t>SECTION 4</w:t>
      </w:r>
    </w:p>
    <w:p>
      <w:pPr>
        <w:spacing w:after="80"/>
        <w:pBdr>
          <w:bottom w:val="single" w:sz="20" w:space="8" w:color="0E4B43"/>
        </w:pBdr>
        <w:outlineLvl w:val="0"/>
      </w:pPr>
      <w:r>
        <w:rPr>
          <w:rFonts w:ascii="Caladea" w:hAnsi="Caladea"/>
          <w:b/>
          <w:color w:val="0E4B43"/>
          <w:sz w:val="42"/>
        </w:rPr>
        <w:t>Data Understanding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This phase establishes the structure, composition, and quality of the standardised dataset before</w:t>
        <w:br/>
        <w:t>exploratory analysis, covering variable types, the target variable, missingness, and categorical characteristics</w:t>
        <w:br/>
        <w:t>that guide subsequent modelling decisions.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14" w:name="_Toc_4_1"/>
      <w:bookmarkEnd w:id="114"/>
      <w:r>
        <w:rPr>
          <w:rFonts w:ascii="Caladea" w:hAnsi="Caladea"/>
          <w:b/>
          <w:color w:val="0E4B43"/>
          <w:sz w:val="26"/>
        </w:rPr>
        <w:t>4.1  Dataset Structure &amp; Initial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/>
                <w:color w:val="0E4B43"/>
                <w:sz w:val="19"/>
              </w:rPr>
              <w:t>Observations</w:t>
            </w:r>
          </w:p>
        </w:tc>
        <w:tc>
          <w:tcPr>
            <w:tcW w:type="dxa" w:w="612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 w:val="0"/>
                <w:i w:val="0"/>
                <w:color w:val="262624"/>
                <w:sz w:val="19"/>
              </w:rPr>
              <w:t>50,000</w:t>
            </w:r>
          </w:p>
        </w:tc>
      </w:tr>
      <w:tr>
        <w:tc>
          <w:tcPr>
            <w:tcW w:type="dxa" w:w="294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/>
                <w:color w:val="0E4B43"/>
                <w:sz w:val="19"/>
              </w:rPr>
              <w:t>Total features</w:t>
            </w:r>
          </w:p>
        </w:tc>
        <w:tc>
          <w:tcPr>
            <w:tcW w:type="dxa" w:w="612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 w:val="0"/>
                <w:i w:val="0"/>
                <w:color w:val="262624"/>
                <w:sz w:val="19"/>
              </w:rPr>
              <w:t>20  (14 numerical, 6 categorical — including the identifier and target)</w:t>
            </w:r>
          </w:p>
        </w:tc>
      </w:tr>
      <w:tr>
        <w:tc>
          <w:tcPr>
            <w:tcW w:type="dxa" w:w="294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/>
                <w:color w:val="0E4B43"/>
                <w:sz w:val="19"/>
              </w:rPr>
              <w:t>Target variable</w:t>
            </w:r>
          </w:p>
        </w:tc>
        <w:tc>
          <w:tcPr>
            <w:tcW w:type="dxa" w:w="612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Liberation Mono" w:hAnsi="Liberation Mono"/>
                <w:i w:val="0"/>
                <w:color w:val="0B3A34"/>
                <w:sz w:val="18"/>
                <w:shd w:val="clear" w:color="auto" w:fill="F0F2F1"/>
              </w:rPr>
              <w:t>Churned</w:t>
            </w:r>
            <w:r>
              <w:rPr>
                <w:rFonts w:ascii="Carlito" w:hAnsi="Carlito"/>
                <w:b w:val="0"/>
                <w:i w:val="0"/>
                <w:color w:val="262624"/>
                <w:sz w:val="19"/>
              </w:rPr>
              <w:t xml:space="preserve">  (int64)</w:t>
            </w:r>
          </w:p>
        </w:tc>
      </w:tr>
      <w:tr>
        <w:tc>
          <w:tcPr>
            <w:tcW w:type="dxa" w:w="294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/>
                <w:color w:val="0E4B43"/>
                <w:sz w:val="19"/>
              </w:rPr>
              <w:t>Identifier column</w:t>
            </w:r>
          </w:p>
        </w:tc>
        <w:tc>
          <w:tcPr>
            <w:tcW w:type="dxa" w:w="612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Liberation Mono" w:hAnsi="Liberation Mono"/>
                <w:i w:val="0"/>
                <w:color w:val="0B3A34"/>
                <w:sz w:val="18"/>
                <w:shd w:val="clear" w:color="auto" w:fill="F0F2F1"/>
              </w:rPr>
              <w:t>Customer_Code</w:t>
            </w:r>
            <w:r>
              <w:rPr>
                <w:rFonts w:ascii="Carlito" w:hAnsi="Carlito"/>
                <w:b w:val="0"/>
                <w:i w:val="0"/>
                <w:color w:val="262624"/>
                <w:sz w:val="19"/>
              </w:rPr>
              <w:t xml:space="preserve">  (dropped before modelling)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A concise sample of the standardised dataset and its descriptive statistics were reviewed to validate</w:t>
        <w:br/>
        <w:t>structure and flag values requiring further investigation. Plausible ranges were confirmed across the numerical</w:t>
        <w:br/>
        <w:t>fields — for example, Tenure_Months ranges from roughly 1 to 60+ months and CSAT_Score is bounded between 1</w:t>
        <w:br/>
        <w:t>and 5 — with no impossible or out-of-range values detected.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15" w:name="_Toc_4_2"/>
      <w:bookmarkEnd w:id="115"/>
      <w:r>
        <w:rPr>
          <w:rFonts w:ascii="Caladea" w:hAnsi="Caladea"/>
          <w:b/>
          <w:color w:val="0E4B43"/>
          <w:sz w:val="26"/>
        </w:rPr>
        <w:t>4.2  Missing-Value Assessment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Missing-value patterns were assessed across the standardised dataset to identify variables requiring</w:t>
        <w:br/>
        <w:t>treatment during the later leakage-free preprocessing stage. Twelve of the twenty features carry genuine</w:t>
        <w:br/>
        <w:t>missingness, at rates between roughly 2.9% and 5.4% — consistent with real-world data collection gaps rather</w:t>
        <w:br/>
        <w:t>than a systematic recording fault.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2494"/>
        <w:gridCol w:w="2268"/>
      </w:tblGrid>
      <w:tr>
        <w:tc>
          <w:tcPr>
            <w:tcW w:type="dxa" w:w="4762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494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Missing Count</w:t>
            </w:r>
          </w:p>
        </w:tc>
        <w:tc>
          <w:tcPr>
            <w:tcW w:type="dxa" w:w="2268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Missing %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Days_Since_Last_Order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2,683</w:t>
            </w:r>
          </w:p>
        </w:tc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5.37%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Marital_Status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2,651</w:t>
            </w:r>
          </w:p>
        </w:tc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5.30%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YoY_Spend_Growth_Pct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2,493</w:t>
            </w:r>
          </w:p>
        </w:tc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4.99%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Payment_Mode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2,399</w:t>
            </w:r>
          </w:p>
        </w:tc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4.80%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Monthly_Orders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2,317</w:t>
            </w:r>
          </w:p>
        </w:tc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4.63%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Hub_To_Home_KM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2,301</w:t>
            </w:r>
          </w:p>
        </w:tc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4.60%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Tenure_Months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2,200</w:t>
            </w:r>
          </w:p>
        </w:tc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4.40%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Coupons_Redeemed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2,191</w:t>
            </w:r>
          </w:p>
        </w:tc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4.38%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App_Engagement_Hrs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2,188</w:t>
            </w:r>
          </w:p>
        </w:tc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4.38%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Top_Category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2,051</w:t>
            </w:r>
          </w:p>
        </w:tc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4.10%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Primary_Access_Device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1,800</w:t>
            </w:r>
          </w:p>
        </w:tc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3.60%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Gender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1,447</w:t>
            </w:r>
          </w:p>
        </w:tc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2.89%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Post-cleaning validation confirmed that no complete duplicate records remain (0 duplicate rows, 0.00%),</w:t>
        <w:br/>
        <w:t>verifying that the earlier de-duplication step was fully effective.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16" w:name="_Toc_4_3"/>
      <w:bookmarkEnd w:id="116"/>
      <w:r>
        <w:rPr>
          <w:rFonts w:ascii="Caladea" w:hAnsi="Caladea"/>
          <w:b/>
          <w:color w:val="0E4B43"/>
          <w:sz w:val="26"/>
        </w:rPr>
        <w:t>4.3  Categorical Cardinality &amp; Feature Profile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number of unique values in each categorical feature was reviewed to confirm category complexity ahead</w:t>
        <w:br/>
        <w:t>of one-hot encoding, and a combined feature profile (data type, unique-value count, missing count) was compiled</w:t>
        <w:br/>
        <w:t>for every column.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3005"/>
      </w:tblGrid>
      <w:tr>
        <w:tc>
          <w:tcPr>
            <w:tcW w:type="dxa" w:w="6520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Categorical Feature</w:t>
            </w:r>
          </w:p>
        </w:tc>
        <w:tc>
          <w:tcPr>
            <w:tcW w:type="dxa" w:w="3005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Unique Values</w:t>
            </w:r>
          </w:p>
        </w:tc>
      </w:tr>
      <w:tr>
        <w:tc>
          <w:tcPr>
            <w:tcW w:type="dxa" w:w="65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Customer_Code  (identifier)</w:t>
            </w:r>
          </w:p>
        </w:tc>
        <w:tc>
          <w:tcPr>
            <w:tcW w:type="dxa" w:w="300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50,000</w:t>
            </w:r>
          </w:p>
        </w:tc>
      </w:tr>
      <w:tr>
        <w:tc>
          <w:tcPr>
            <w:tcW w:type="dxa" w:w="65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Payment_Mode</w:t>
            </w:r>
          </w:p>
        </w:tc>
        <w:tc>
          <w:tcPr>
            <w:tcW w:type="dxa" w:w="300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6</w:t>
            </w:r>
          </w:p>
        </w:tc>
      </w:tr>
      <w:tr>
        <w:tc>
          <w:tcPr>
            <w:tcW w:type="dxa" w:w="65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Top_Category</w:t>
            </w:r>
          </w:p>
        </w:tc>
        <w:tc>
          <w:tcPr>
            <w:tcW w:type="dxa" w:w="300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6</w:t>
            </w:r>
          </w:p>
        </w:tc>
      </w:tr>
      <w:tr>
        <w:tc>
          <w:tcPr>
            <w:tcW w:type="dxa" w:w="65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Primary_Access_Device</w:t>
            </w:r>
          </w:p>
        </w:tc>
        <w:tc>
          <w:tcPr>
            <w:tcW w:type="dxa" w:w="300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3</w:t>
            </w:r>
          </w:p>
        </w:tc>
      </w:tr>
      <w:tr>
        <w:tc>
          <w:tcPr>
            <w:tcW w:type="dxa" w:w="65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Marital_Status</w:t>
            </w:r>
          </w:p>
        </w:tc>
        <w:tc>
          <w:tcPr>
            <w:tcW w:type="dxa" w:w="300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3</w:t>
            </w:r>
          </w:p>
        </w:tc>
      </w:tr>
      <w:tr>
        <w:tc>
          <w:tcPr>
            <w:tcW w:type="dxa" w:w="65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Gender</w:t>
            </w:r>
          </w:p>
        </w:tc>
        <w:tc>
          <w:tcPr>
            <w:tcW w:type="dxa" w:w="300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2</w:t>
            </w:r>
          </w:p>
        </w:tc>
      </w:tr>
    </w:tbl>
    <w:p>
      <w:pPr>
        <w:spacing w:after="40"/>
      </w:pPr>
    </w:p>
    <w:p>
      <w:pPr>
        <w:spacing w:before="200" w:after="200"/>
        <w:shd w:val="clear" w:color="auto" w:fill="EAF3F1"/>
        <w:pBdr>
          <w:left w:val="single" w:sz="10" w:space="10" w:color="0E4B43"/>
          <w:bottom w:val="single" w:sz="4" w:space="6" w:color="0E4B43"/>
          <w:top w:val="single" w:sz="4" w:space="6" w:color="0E4B43"/>
        </w:pBdr>
      </w:pPr>
      <w:r>
        <w:rPr>
          <w:rFonts w:ascii="Carlito" w:hAnsi="Carlito"/>
          <w:b/>
          <w:color w:val="0E4B43"/>
          <w:sz w:val="17"/>
        </w:rPr>
        <w:t>DATA UNDERSTANDING SUMMARY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The cleaned dataset comprises 50,000 uniquely-keyed customers across 20</w:t>
        <w:br/>
        <w:t>fields, with genuine (not systematic) missingness in 12 features at manageable rates, low-to-moderate</w:t>
        <w:br/>
        <w:t>cardinality across all five nominal predictors, and zero remaining duplicate records — confirming the table is</w:t>
        <w:br/>
        <w:t>analysis-ready ahead of exploratory analysis.</w:t>
      </w:r>
    </w:p>
    <w:p>
      <w:bookmarkStart w:id="117" w:name="_Toc_5"/>
      <w:pPr>
        <w:pageBreakBefore/>
        <w:spacing w:after="40"/>
      </w:pPr>
      <w:bookmarkEnd w:id="117"/>
      <w:r>
        <w:rPr>
          <w:rFonts w:ascii="Carlito" w:hAnsi="Carlito"/>
          <w:b/>
          <w:color w:val="C4881F"/>
          <w:sz w:val="21"/>
          <w:spacing w:val="30"/>
        </w:rPr>
        <w:t>SECTION 5</w:t>
      </w:r>
    </w:p>
    <w:p>
      <w:pPr>
        <w:spacing w:after="80"/>
        <w:pBdr>
          <w:bottom w:val="single" w:sz="20" w:space="8" w:color="0E4B43"/>
        </w:pBdr>
        <w:outlineLvl w:val="0"/>
      </w:pPr>
      <w:r>
        <w:rPr>
          <w:rFonts w:ascii="Caladea" w:hAnsi="Caladea"/>
          <w:b/>
          <w:color w:val="0E4B43"/>
          <w:sz w:val="42"/>
        </w:rPr>
        <w:t>Exploratory Data Analysis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Exploratory Data Analysis is performed to understand the distribution of customer behaviour, identify</w:t>
        <w:br/>
        <w:t>meaningful relationships with churn, and detect patterns that may influence subsequent modelling decisions,</w:t>
        <w:br/>
        <w:t>while avoiding unnecessary or redundant visualisations.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18" w:name="_Toc_5_1"/>
      <w:bookmarkEnd w:id="118"/>
      <w:r>
        <w:rPr>
          <w:rFonts w:ascii="Caladea" w:hAnsi="Caladea"/>
          <w:b/>
          <w:color w:val="0E4B43"/>
          <w:sz w:val="26"/>
        </w:rPr>
        <w:t>5.1  Target Variable Distribution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distribution of the target variable was examined to quantify the proportion of churned and</w:t>
        <w:br/>
        <w:t>non-churned customers and assess the degree of class imbalance.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780000" cy="267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7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hAnsi="Carlito"/>
          <w:i/>
          <w:color w:val="6B6C66"/>
          <w:sz w:val="18"/>
        </w:rPr>
        <w:t>Figure 5.1 — Distribution of the Churned Target Variable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835"/>
        <w:gridCol w:w="2721"/>
      </w:tblGrid>
      <w:tr>
        <w:tc>
          <w:tcPr>
            <w:tcW w:type="dxa" w:w="3969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Churn Status</w:t>
            </w:r>
          </w:p>
        </w:tc>
        <w:tc>
          <w:tcPr>
            <w:tcW w:type="dxa" w:w="2835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Customer Count</w:t>
            </w:r>
          </w:p>
        </w:tc>
        <w:tc>
          <w:tcPr>
            <w:tcW w:type="dxa" w:w="2721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% of Dataset</w:t>
            </w:r>
          </w:p>
        </w:tc>
      </w:tr>
      <w:tr>
        <w:tc>
          <w:tcPr>
            <w:tcW w:type="dxa" w:w="3969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 — Retained</w:t>
            </w:r>
          </w:p>
        </w:tc>
        <w:tc>
          <w:tcPr>
            <w:tcW w:type="dxa" w:w="283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41,125</w:t>
            </w:r>
          </w:p>
        </w:tc>
        <w:tc>
          <w:tcPr>
            <w:tcW w:type="dxa" w:w="272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82.25%</w:t>
            </w:r>
          </w:p>
        </w:tc>
      </w:tr>
      <w:tr>
        <w:tc>
          <w:tcPr>
            <w:tcW w:type="dxa" w:w="3969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1 — Churned</w:t>
            </w:r>
          </w:p>
        </w:tc>
        <w:tc>
          <w:tcPr>
            <w:tcW w:type="dxa" w:w="283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8,875</w:t>
            </w:r>
          </w:p>
        </w:tc>
        <w:tc>
          <w:tcPr>
            <w:tcW w:type="dxa" w:w="272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17.75%</w:t>
            </w:r>
          </w:p>
        </w:tc>
      </w:tr>
    </w:tbl>
    <w:p>
      <w:pPr>
        <w:spacing w:after="40"/>
      </w:pP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OBSERVATION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The roughly 82% / 18% split confirms a meaningfully imbalanced target rather than a</w:t>
        <w:br/>
        <w:t>merely skewed one, motivating the use of PR-AUC, Balanced Accuracy, and Macro F1 alongside raw accuracy, and the</w:t>
        <w:br/>
        <w:t>cost-sensitive weighting strategy adopted in Section 8.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19" w:name="_Toc_5_2"/>
      <w:bookmarkEnd w:id="119"/>
      <w:r>
        <w:rPr>
          <w:rFonts w:ascii="Caladea" w:hAnsi="Caladea"/>
          <w:b/>
          <w:color w:val="0E4B43"/>
          <w:sz w:val="26"/>
        </w:rPr>
        <w:t>5.2  Numerical Feature Distributions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distributions of thirteen numerical features (excluding the target) were examined to understand</w:t>
        <w:br/>
        <w:t>central tendency, spread, skew, and potential extreme observations.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5854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854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hAnsi="Carlito"/>
          <w:i/>
          <w:color w:val="6B6C66"/>
          <w:sz w:val="18"/>
        </w:rPr>
        <w:t>Figure 5.2 — Distribution of Numerical Features</w:t>
      </w: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KEY INSIGHTS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Tenure_Months, Hub_To_Home_KM, and App_Engagement_Hrs are positively skewed, concentrated</w:t>
        <w:br/>
        <w:t>at lower values. Saved_Addresses, Coupons_Redeemed, Monthly_Orders, and Avg_Reward_Value_INR are right-skewed,</w:t>
        <w:br/>
        <w:t>indicating a smaller group of highly active or higher-value customers. Days_Since_Last_Order shows a pronounced</w:t>
        <w:br/>
        <w:t>right tail, with most customers recently active. City_Tier, Devices_Linked, and CSAT_Score are discrete/ordinal,</w:t>
        <w:br/>
        <w:t>while Complaint_Last_Month is a sparse binary flag. YoY_Spend_Growth_Pct is comparatively balanced, spanning</w:t>
        <w:br/>
        <w:t xml:space="preserve">both negative and positive growth. </w:t>
      </w:r>
      <w:r>
        <w:rPr>
          <w:rFonts w:ascii="Carlito" w:hAnsi="Carlito"/>
          <w:b/>
          <w:i w:val="0"/>
          <w:color w:val="262624"/>
          <w:sz w:val="19"/>
        </w:rPr>
        <w:t>Overall</w:t>
      </w:r>
      <w:r>
        <w:rPr>
          <w:rFonts w:ascii="Carlito" w:hAnsi="Carlito"/>
          <w:b w:val="0"/>
          <w:i w:val="0"/>
          <w:color w:val="262624"/>
          <w:sz w:val="19"/>
        </w:rPr>
        <w:t>, the feature set mixes continuous, discrete, ordinal, and binary</w:t>
        <w:br/>
        <w:t>variables with varying shapes — a consideration carried into preprocessing in Section 7.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20" w:name="_Toc_5_3"/>
      <w:bookmarkEnd w:id="120"/>
      <w:r>
        <w:rPr>
          <w:rFonts w:ascii="Caladea" w:hAnsi="Caladea"/>
          <w:b/>
          <w:color w:val="0E4B43"/>
          <w:sz w:val="26"/>
        </w:rPr>
        <w:t>5.3  Churn Behaviour vs Numerical Features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Key numerical features were compared across churn classes using box plots to identify differences in</w:t>
        <w:br/>
        <w:t>customer behaviour and potential predictive signal.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895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4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9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hAnsi="Carlito"/>
          <w:i/>
          <w:color w:val="6B6C66"/>
          <w:sz w:val="18"/>
        </w:rPr>
        <w:t>Figure 5.3 — Key Numerical Features by Churn Status</w:t>
      </w: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KEY INSIGHTS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Days_Since_Last_Order shows clear separation between churn classes, with churned</w:t>
        <w:br/>
        <w:t>customers exhibiting substantially higher median inactivity. App_Engagement_Hrs and Monthly_Orders are</w:t>
        <w:br/>
        <w:t>noticeably lower among churned customers, indicating reduced engagement and purchasing activity.</w:t>
        <w:br/>
        <w:t>Avg_Reward_Value_INR is generally lower for churned customers, and Tenure_Months is lower for the churned</w:t>
        <w:br/>
        <w:t>group, while YoY_Spend_Growth_Pct shows a lower central tendency and a broader negative range among churners.</w:t>
        <w:br/>
      </w:r>
      <w:r>
        <w:rPr>
          <w:rFonts w:ascii="Carlito" w:hAnsi="Carlito"/>
          <w:b/>
          <w:i w:val="0"/>
          <w:color w:val="262624"/>
          <w:sz w:val="19"/>
        </w:rPr>
        <w:t>Overall</w:t>
      </w:r>
      <w:r>
        <w:rPr>
          <w:rFonts w:ascii="Carlito" w:hAnsi="Carlito"/>
          <w:b w:val="0"/>
          <w:i w:val="0"/>
          <w:color w:val="262624"/>
          <w:sz w:val="19"/>
        </w:rPr>
        <w:t>, recency, engagement, order activity, and reward value emerge as the strongest behavioural</w:t>
        <w:br/>
        <w:t>candidates for churn prediction.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21" w:name="_Toc_5_4"/>
      <w:bookmarkEnd w:id="121"/>
      <w:r>
        <w:rPr>
          <w:rFonts w:ascii="Caladea" w:hAnsi="Caladea"/>
          <w:b/>
          <w:color w:val="0E4B43"/>
          <w:sz w:val="26"/>
        </w:rPr>
        <w:t>5.4  Churn Rate Across Categorical Segments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Churn rates were compared across key categorical segments to identify customer groups with noticeably</w:t>
        <w:br/>
        <w:t>different churn behaviour and potential business relevance.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98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4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8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hAnsi="Carlito"/>
          <w:i/>
          <w:color w:val="6B6C66"/>
          <w:sz w:val="18"/>
        </w:rPr>
        <w:t>Figure 5.4 — Churn Rate Across Categorical Features</w:t>
      </w: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KEY INSIGHTS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Payment_Mode shows the strongest categorical variation, with Card on Delivery (POS) at</w:t>
        <w:br/>
        <w:t>32.2% and Cash on Delivery at 30.7% recording notably higher churn than digital payment methods such as UPI</w:t>
        <w:br/>
        <w:t>(15.8%). Marital_Status also varies meaningfully, with Separated/Divorced customers churning at 24.9% versus</w:t>
        <w:br/>
        <w:t>17.0% for Married customers. Primary_Access_Device and Top_Category show moderate differences — Mobile</w:t>
        <w:br/>
        <w:t>Browser users (24.0%) and the Miscellaneous category (25.9%) churn more than Smartphone App users (14.8%) and</w:t>
        <w:br/>
        <w:t>the Grocery &amp; Essentials category (12.3%). Gender shows limited variation (17.3%–18.0%) across its</w:t>
        <w:br/>
        <w:t>categories.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22" w:name="_Toc_5_5"/>
      <w:bookmarkEnd w:id="122"/>
      <w:r>
        <w:rPr>
          <w:rFonts w:ascii="Caladea" w:hAnsi="Caladea"/>
          <w:b/>
          <w:color w:val="0E4B43"/>
          <w:sz w:val="26"/>
        </w:rPr>
        <w:t>5.5  Feature Relationship &amp; Correlation Analysis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A Spearman correlation matrix of the numerical features was computed to surface monotonic relationships,</w:t>
        <w:br/>
        <w:t>flag potential multicollinearity, and quantify each feature's association with the target ahead of model</w:t>
        <w:br/>
        <w:t>training.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8280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4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2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hAnsi="Carlito"/>
          <w:i/>
          <w:color w:val="6B6C66"/>
          <w:sz w:val="18"/>
        </w:rPr>
        <w:t>Figure 5.5 — Spearman Correlation Matrix of Numerical Features</w:t>
      </w: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KEY INSIGHTS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Days_Since_Last_Order shows the strongest positive correlation with churn</w:t>
        <w:br/>
        <w:t>(ρ = 0.46), while Monthly_Orders shows a moderate negative correlation (ρ = −0.43). App_Engagement_Hrs</w:t>
        <w:br/>
        <w:t>(−0.35) and Coupons_Redeemed (−0.32) also show moderate negative associations, and Tenure_Months</w:t>
        <w:br/>
        <w:t>(−0.25) and CSAT_Score (−0.24) show weaker negative relationships with churn. Among the predictors</w:t>
        <w:br/>
        <w:t>themselves, Monthly_Orders and Days_Since_Last_Order are strongly negatively correlated (−0.71), and</w:t>
        <w:br/>
        <w:t xml:space="preserve">Coupons_Redeemed correlates positively with Monthly_Orders (0.62). </w:t>
      </w:r>
      <w:r>
        <w:rPr>
          <w:rFonts w:ascii="Carlito" w:hAnsi="Carlito"/>
          <w:b/>
          <w:i w:val="0"/>
          <w:color w:val="262624"/>
          <w:sz w:val="19"/>
        </w:rPr>
        <w:t>Overall</w:t>
      </w:r>
      <w:r>
        <w:rPr>
          <w:rFonts w:ascii="Carlito" w:hAnsi="Carlito"/>
          <w:b w:val="0"/>
          <w:i w:val="0"/>
          <w:color w:val="262624"/>
          <w:sz w:val="19"/>
        </w:rPr>
        <w:t>, customer recency, order</w:t>
        <w:br/>
        <w:t>activity, engagement, and reward-related behaviour show the most notable associations with churn; no pair is</w:t>
        <w:br/>
        <w:t>collinear enough to justify feature removal, so all predictors were retained for modelling.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23" w:name="_Toc_5_6"/>
      <w:bookmarkEnd w:id="123"/>
      <w:r>
        <w:rPr>
          <w:rFonts w:ascii="Caladea" w:hAnsi="Caladea"/>
          <w:b/>
          <w:color w:val="0E4B43"/>
          <w:sz w:val="26"/>
        </w:rPr>
        <w:t>5.6  Churn Rate by Tenure Band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Customer tenure was grouped into six lifecycle bands to examine how observed churn rates vary across</w:t>
        <w:br/>
        <w:t>different stages of the customer relationship.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780000" cy="20695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5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69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hAnsi="Carlito"/>
          <w:i/>
          <w:color w:val="6B6C66"/>
          <w:sz w:val="18"/>
        </w:rPr>
        <w:t>Figure 5.6 — Churn Rate by Tenure Band</w:t>
      </w: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KEY INSIGHTS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Churn is highest among newer customers, reaching 35.5% in the 0–6 month tenure band,</w:t>
        <w:br/>
        <w:t>and declines consistently as tenure increases, falling to 2.5% among customers with 60+ months of tenure. The</w:t>
        <w:br/>
        <w:t>largest reduction occurs during the early customer lifecycle (0–12 months), identifying new customers as the</w:t>
        <w:br/>
        <w:t>highest-priority segment for churn-risk monitoring and retention investment.</w:t>
      </w:r>
    </w:p>
    <w:p>
      <w:pPr>
        <w:spacing w:before="200" w:after="200"/>
        <w:shd w:val="clear" w:color="auto" w:fill="EAF3F1"/>
        <w:pBdr>
          <w:left w:val="single" w:sz="10" w:space="10" w:color="0E4B43"/>
          <w:bottom w:val="single" w:sz="4" w:space="6" w:color="0E4B43"/>
          <w:top w:val="single" w:sz="4" w:space="6" w:color="0E4B43"/>
        </w:pBdr>
      </w:pPr>
      <w:r>
        <w:rPr>
          <w:rFonts w:ascii="Carlito" w:hAnsi="Carlito"/>
          <w:b/>
          <w:color w:val="0E4B43"/>
          <w:sz w:val="17"/>
        </w:rPr>
        <w:t>EDA SUMMARY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The target is imbalanced (82.25% / 17.75%), motivating PR-AUC, Balanced Accuracy, and</w:t>
        <w:br/>
        <w:t>class-weighted modelling. Churn is driven primarily by recency of activity, low engagement, low order frequency,</w:t>
        <w:br/>
        <w:t>and lower reward value; Payment_Mode, Marital_Status, and Top_Category show the clearest categorical</w:t>
        <w:br/>
        <w:t>associations, while Gender carries limited predictive value. No feature pair is collinear enough to warrant</w:t>
        <w:br/>
        <w:t>removal, and newer customers (0–12 months' tenure) form the highest-risk lifecycle segment.</w:t>
      </w:r>
    </w:p>
    <w:p>
      <w:bookmarkStart w:id="124" w:name="_Toc_6"/>
      <w:pPr>
        <w:pageBreakBefore/>
        <w:spacing w:after="40"/>
      </w:pPr>
      <w:bookmarkEnd w:id="124"/>
      <w:r>
        <w:rPr>
          <w:rFonts w:ascii="Carlito" w:hAnsi="Carlito"/>
          <w:b/>
          <w:color w:val="C4881F"/>
          <w:sz w:val="21"/>
          <w:spacing w:val="30"/>
        </w:rPr>
        <w:t>SECTION 6</w:t>
      </w:r>
    </w:p>
    <w:p>
      <w:pPr>
        <w:spacing w:after="80"/>
        <w:pBdr>
          <w:bottom w:val="single" w:sz="20" w:space="8" w:color="0E4B43"/>
        </w:pBdr>
        <w:outlineLvl w:val="0"/>
      </w:pPr>
      <w:r>
        <w:rPr>
          <w:rFonts w:ascii="Caladea" w:hAnsi="Caladea"/>
          <w:b/>
          <w:color w:val="0E4B43"/>
          <w:sz w:val="42"/>
        </w:rPr>
        <w:t>Feature Engineering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New, domain-driven customer-behaviour indicators are derived from existing features to enhance the</w:t>
        <w:br/>
        <w:t>representation of customer behaviour while preserving interpretability and strict separation from the target</w:t>
        <w:br/>
        <w:t>variable. Both features below are computed entirely from customer-level attributes and use no target or future</w:t>
        <w:br/>
        <w:t>information.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25" w:name="_Toc_6_1"/>
      <w:bookmarkEnd w:id="125"/>
      <w:r>
        <w:rPr>
          <w:rFonts w:ascii="Caladea" w:hAnsi="Caladea"/>
          <w:b/>
          <w:color w:val="0E4B43"/>
          <w:sz w:val="26"/>
        </w:rPr>
        <w:t>6.1  Digital Engagement per Device</w:t>
      </w:r>
    </w:p>
    <w:p>
      <w:pPr>
        <w:spacing w:after="120" w:before="0"/>
        <w:jc w:val="left"/>
      </w:pP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Digital_Engagement_Per_Device</w:t>
      </w:r>
      <w:r>
        <w:rPr>
          <w:rFonts w:ascii="Carlito" w:hAnsi="Carlito"/>
          <w:b w:val="0"/>
          <w:i w:val="0"/>
          <w:color w:val="262624"/>
          <w:sz w:val="21"/>
        </w:rPr>
        <w:t xml:space="preserve"> measures the customer's app engagement intensity</w:t>
        <w:br/>
        <w:t>relative to the number of linked devices, giving a more contextual view of digital engagement than raw app</w:t>
        <w:br/>
        <w:t>usage alone:</w:t>
      </w:r>
    </w:p>
    <w:p>
      <w:pPr>
        <w:spacing w:before="120" w:after="200"/>
        <w:jc w:val="center"/>
        <w:shd w:val="clear" w:color="auto" w:fill="EAF3F1"/>
        <w:pBdr>
          <w:left w:val="single" w:sz="4" w:space="6" w:color="0E4B43"/>
          <w:bottom w:val="single" w:sz="4" w:space="6" w:color="0E4B43"/>
          <w:top w:val="single" w:sz="4" w:space="6" w:color="0E4B43"/>
        </w:pBdr>
      </w:pPr>
      <w:r>
        <w:rPr>
          <w:rFonts w:ascii="Carlito" w:hAnsi="Carlito"/>
          <w:b w:val="0"/>
          <w:i w:val="0"/>
          <w:color w:val="262624"/>
          <w:sz w:val="20"/>
        </w:rPr>
        <w:t>Digital_Engagement_Per_Device = App_Engagement_Hrs / Devices_Linked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feature is derived entirely from customer-level behavioural attributes; genuine missing values are</w:t>
        <w:br/>
        <w:t>preserved for treatment at the preprocessing stage. Per the SHAP analysis in Section 11, this engineered ratio</w:t>
        <w:br/>
        <w:t>contributes meaningful, measurable predictive information alongside the two raw features it is built from.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26" w:name="_Toc_6_2"/>
      <w:bookmarkEnd w:id="126"/>
      <w:r>
        <w:rPr>
          <w:rFonts w:ascii="Caladea" w:hAnsi="Caladea"/>
          <w:b/>
          <w:color w:val="0E4B43"/>
          <w:sz w:val="26"/>
        </w:rPr>
        <w:t>6.2  Coupon Redemption Rate</w:t>
      </w:r>
    </w:p>
    <w:p>
      <w:pPr>
        <w:spacing w:after="120" w:before="0"/>
        <w:jc w:val="left"/>
      </w:pP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Coupon_Redemption_Rate</w:t>
      </w:r>
      <w:r>
        <w:rPr>
          <w:rFonts w:ascii="Carlito" w:hAnsi="Carlito"/>
          <w:b w:val="0"/>
          <w:i w:val="0"/>
          <w:color w:val="262624"/>
          <w:sz w:val="21"/>
        </w:rPr>
        <w:t xml:space="preserve"> measures the proportion of coupon redemptions relative to</w:t>
        <w:br/>
        <w:t>the customer's monthly order activity — a more informative, normalised view of promotional purchasing</w:t>
        <w:br/>
        <w:t>behaviour than a raw redemption count:</w:t>
      </w:r>
    </w:p>
    <w:p>
      <w:pPr>
        <w:spacing w:before="120" w:after="200"/>
        <w:jc w:val="center"/>
        <w:shd w:val="clear" w:color="auto" w:fill="EAF3F1"/>
        <w:pBdr>
          <w:left w:val="single" w:sz="4" w:space="6" w:color="0E4B43"/>
          <w:bottom w:val="single" w:sz="4" w:space="6" w:color="0E4B43"/>
          <w:top w:val="single" w:sz="4" w:space="6" w:color="0E4B43"/>
        </w:pBdr>
      </w:pPr>
      <w:r>
        <w:rPr>
          <w:rFonts w:ascii="Carlito" w:hAnsi="Carlito"/>
          <w:b w:val="0"/>
          <w:i w:val="0"/>
          <w:color w:val="262624"/>
          <w:sz w:val="20"/>
        </w:rPr>
        <w:t>Coupon_Redemption_Rate = Coupons_Redeemed / Monthly_Orders   (defined only where Monthly_Orders &gt; 0)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feature uses only observed customer-level variables; missing and undefined cases (zero monthly orders)</w:t>
        <w:br/>
        <w:t xml:space="preserve">are intentionally preserved as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NaN</w:t>
      </w:r>
      <w:r>
        <w:rPr>
          <w:rFonts w:ascii="Carlito" w:hAnsi="Carlito"/>
          <w:b w:val="0"/>
          <w:i w:val="0"/>
          <w:color w:val="262624"/>
          <w:sz w:val="21"/>
        </w:rPr>
        <w:t xml:space="preserve"> for the downstream preprocessing pipeline, rather</w:t>
        <w:br/>
        <w:t>than being arbitrarily imputed at engineering time.</w:t>
      </w: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ENGINEERING NOTE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Both engineered features are computed before the train–test split but depend only</w:t>
        <w:br/>
        <w:t>on already-observed customer attributes, not on the target — so their inclusion introduces no leakage. Their</w:t>
        <w:br/>
        <w:t>missing values are handled by the same leakage-safe imputation pipeline described in Section 7.</w:t>
      </w:r>
    </w:p>
    <w:p>
      <w:bookmarkStart w:id="127" w:name="_Toc_7"/>
      <w:pPr>
        <w:pageBreakBefore/>
        <w:spacing w:after="40"/>
      </w:pPr>
      <w:bookmarkEnd w:id="127"/>
      <w:r>
        <w:rPr>
          <w:rFonts w:ascii="Carlito" w:hAnsi="Carlito"/>
          <w:b/>
          <w:color w:val="C4881F"/>
          <w:sz w:val="21"/>
          <w:spacing w:val="30"/>
        </w:rPr>
        <w:t>SECTION 7</w:t>
      </w:r>
    </w:p>
    <w:p>
      <w:pPr>
        <w:spacing w:after="80"/>
        <w:pBdr>
          <w:bottom w:val="single" w:sz="20" w:space="8" w:color="0E4B43"/>
        </w:pBdr>
        <w:outlineLvl w:val="0"/>
      </w:pPr>
      <w:r>
        <w:rPr>
          <w:rFonts w:ascii="Caladea" w:hAnsi="Caladea"/>
          <w:b/>
          <w:color w:val="0E4B43"/>
          <w:sz w:val="42"/>
        </w:rPr>
        <w:t>Data Preprocessing &amp; Train–Test Split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engineered dataset is transformed into a clean, model-ready representation while maintaining a strict</w:t>
        <w:br/>
        <w:t>separation between training and unseen data. The workflow addresses missing values, numerical scaling, and</w:t>
        <w:br/>
        <w:t>categorical encoding using transformations appropriate to each feature type, with the train–test split</w:t>
        <w:br/>
        <w:t xml:space="preserve">performed </w:t>
      </w:r>
      <w:r>
        <w:rPr>
          <w:rFonts w:ascii="Carlito" w:hAnsi="Carlito"/>
          <w:b/>
          <w:i w:val="0"/>
          <w:color w:val="262624"/>
          <w:sz w:val="21"/>
        </w:rPr>
        <w:t>before</w:t>
      </w:r>
      <w:r>
        <w:rPr>
          <w:rFonts w:ascii="Carlito" w:hAnsi="Carlito"/>
          <w:b w:val="0"/>
          <w:i w:val="0"/>
          <w:color w:val="262624"/>
          <w:sz w:val="21"/>
        </w:rPr>
        <w:t xml:space="preserve"> any data-driven preprocessing step.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28" w:name="_Toc_7_1"/>
      <w:bookmarkEnd w:id="128"/>
      <w:r>
        <w:rPr>
          <w:rFonts w:ascii="Caladea" w:hAnsi="Caladea"/>
          <w:b/>
          <w:color w:val="0E4B43"/>
          <w:sz w:val="26"/>
        </w:rPr>
        <w:t>7.1  Feature–Target Separation and Stratified Split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 xml:space="preserve">The target variable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Churned</w:t>
      </w:r>
      <w:r>
        <w:rPr>
          <w:rFonts w:ascii="Carlito" w:hAnsi="Carlito"/>
          <w:b w:val="0"/>
          <w:i w:val="0"/>
          <w:color w:val="262624"/>
          <w:sz w:val="21"/>
        </w:rPr>
        <w:t xml:space="preserve"> was separated from the predictors before any</w:t>
        <w:br/>
        <w:t xml:space="preserve">preprocessing, storing predictors in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X</w:t>
      </w:r>
      <w:r>
        <w:rPr>
          <w:rFonts w:ascii="Carlito" w:hAnsi="Carlito"/>
          <w:b w:val="0"/>
          <w:i w:val="0"/>
          <w:color w:val="262624"/>
          <w:sz w:val="21"/>
        </w:rPr>
        <w:t xml:space="preserve"> and the target in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y</w:t>
      </w:r>
      <w:r>
        <w:rPr>
          <w:rFonts w:ascii="Carlito" w:hAnsi="Carlito"/>
          <w:b w:val="0"/>
          <w:i w:val="0"/>
          <w:color w:val="262624"/>
          <w:sz w:val="21"/>
        </w:rPr>
        <w:t>. The</w:t>
        <w:br/>
        <w:t xml:space="preserve">identifier column and the EDA-only tenure band were dropped from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X</w:t>
      </w:r>
      <w:r>
        <w:rPr>
          <w:rFonts w:ascii="Carlito" w:hAnsi="Carlito"/>
          <w:b w:val="0"/>
          <w:i w:val="0"/>
          <w:color w:val="262624"/>
          <w:sz w:val="21"/>
        </w:rPr>
        <w:t>. The dataset was</w:t>
        <w:br/>
        <w:t>then split into training and test subsets using stratified sampling, preserving the churn-class proportion in</w:t>
        <w:br/>
        <w:t>both partitions; the test set remains completely unseen until final evaluation in Section 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721"/>
      </w:tblGrid>
      <w:tr>
        <w:tc>
          <w:tcPr>
            <w:tcW w:type="dxa" w:w="3402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Split</w:t>
            </w:r>
          </w:p>
        </w:tc>
        <w:tc>
          <w:tcPr>
            <w:tcW w:type="dxa" w:w="3402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Rows × Columns</w:t>
            </w:r>
          </w:p>
        </w:tc>
        <w:tc>
          <w:tcPr>
            <w:tcW w:type="dxa" w:w="2721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Churn Rate</w:t>
            </w:r>
          </w:p>
        </w:tc>
      </w:tr>
      <w:tr>
        <w:tc>
          <w:tcPr>
            <w:tcW w:type="dxa" w:w="340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Training Set</w:t>
            </w:r>
          </w:p>
        </w:tc>
        <w:tc>
          <w:tcPr>
            <w:tcW w:type="dxa" w:w="340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40,000 × 20</w:t>
            </w:r>
          </w:p>
        </w:tc>
        <w:tc>
          <w:tcPr>
            <w:tcW w:type="dxa" w:w="272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17.75%</w:t>
            </w:r>
          </w:p>
        </w:tc>
      </w:tr>
      <w:tr>
        <w:tc>
          <w:tcPr>
            <w:tcW w:type="dxa" w:w="340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Test Set</w:t>
            </w:r>
          </w:p>
        </w:tc>
        <w:tc>
          <w:tcPr>
            <w:tcW w:type="dxa" w:w="340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10,000 × 20</w:t>
            </w:r>
          </w:p>
        </w:tc>
        <w:tc>
          <w:tcPr>
            <w:tcW w:type="dxa" w:w="272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17.75%</w:t>
            </w:r>
          </w:p>
        </w:tc>
      </w:tr>
    </w:tbl>
    <w:p>
      <w:pPr>
        <w:spacing w:after="40"/>
      </w:pP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29" w:name="_Toc_7_2"/>
      <w:bookmarkEnd w:id="129"/>
      <w:r>
        <w:rPr>
          <w:rFonts w:ascii="Caladea" w:hAnsi="Caladea"/>
          <w:b/>
          <w:color w:val="0E4B43"/>
          <w:sz w:val="26"/>
        </w:rPr>
        <w:t>7.2  Feature-Type Classification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Predictors are classified by their statistical and business meaning rather than raw data type, so that</w:t>
        <w:br/>
        <w:t>each group receives an appropriate preprocessing strategy while preserving its original interpretation: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422"/>
        <w:gridCol w:w="3061"/>
      </w:tblGrid>
      <w:tr>
        <w:tc>
          <w:tcPr>
            <w:tcW w:type="dxa" w:w="2041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Feature Group</w:t>
            </w:r>
          </w:p>
        </w:tc>
        <w:tc>
          <w:tcPr>
            <w:tcW w:type="dxa" w:w="4422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Members</w:t>
            </w:r>
          </w:p>
        </w:tc>
        <w:tc>
          <w:tcPr>
            <w:tcW w:type="dxa" w:w="3061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Treatment</w:t>
            </w:r>
          </w:p>
        </w:tc>
      </w:tr>
      <w:tr>
        <w:tc>
          <w:tcPr>
            <w:tcW w:type="dxa" w:w="204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Ordinal</w:t>
            </w:r>
          </w:p>
        </w:tc>
        <w:tc>
          <w:tcPr>
            <w:tcW w:type="dxa" w:w="442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CSAT_Score, City_Tier</w:t>
            </w:r>
          </w:p>
        </w:tc>
        <w:tc>
          <w:tcPr>
            <w:tcW w:type="dxa" w:w="30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Natural order preserved; no imputation required (no missing values)</w:t>
            </w:r>
          </w:p>
        </w:tc>
      </w:tr>
      <w:tr>
        <w:tc>
          <w:tcPr>
            <w:tcW w:type="dxa" w:w="204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Binary</w:t>
            </w:r>
          </w:p>
        </w:tc>
        <w:tc>
          <w:tcPr>
            <w:tcW w:type="dxa" w:w="442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Complaint_Last_Month</w:t>
            </w:r>
          </w:p>
        </w:tc>
        <w:tc>
          <w:tcPr>
            <w:tcW w:type="dxa" w:w="30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Already a 0/1 indicator; passthrough, no encoding or scaling</w:t>
            </w:r>
          </w:p>
        </w:tc>
      </w:tr>
      <w:tr>
        <w:tc>
          <w:tcPr>
            <w:tcW w:type="dxa" w:w="204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Nominal</w:t>
            </w:r>
          </w:p>
        </w:tc>
        <w:tc>
          <w:tcPr>
            <w:tcW w:type="dxa" w:w="442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Primary_Access_Device, Payment_Mode, Gender, Top_Category, Marital_Status</w:t>
            </w:r>
          </w:p>
        </w:tc>
        <w:tc>
          <w:tcPr>
            <w:tcW w:type="dxa" w:w="30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Mode-imputed, then One-Hot Encoded</w:t>
            </w:r>
          </w:p>
        </w:tc>
      </w:tr>
      <w:tr>
        <w:tc>
          <w:tcPr>
            <w:tcW w:type="dxa" w:w="204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Numerical (missing)</w:t>
            </w:r>
          </w:p>
        </w:tc>
        <w:tc>
          <w:tcPr>
            <w:tcW w:type="dxa" w:w="442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Tenure_Months, Hub_To_Home_KM, App_Engagement_Hrs, YoY_Spend_Growth_Pct, Coupons_Redeemed, Monthly_Orders, Days_Since_Last_Order, Digital_Engagement_Per_Device, Coupon_Redemption_Rate</w:t>
            </w:r>
          </w:p>
        </w:tc>
        <w:tc>
          <w:tcPr>
            <w:tcW w:type="dxa" w:w="30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Median imputation (robust to skew and extreme values)</w:t>
            </w:r>
          </w:p>
        </w:tc>
      </w:tr>
      <w:tr>
        <w:tc>
          <w:tcPr>
            <w:tcW w:type="dxa" w:w="204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Numerical (complete)</w:t>
            </w:r>
          </w:p>
        </w:tc>
        <w:tc>
          <w:tcPr>
            <w:tcW w:type="dxa" w:w="442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Devices_Linked, Saved_Addresses, Avg_Reward_Value_INR</w:t>
            </w:r>
          </w:p>
        </w:tc>
        <w:tc>
          <w:tcPr>
            <w:tcW w:type="dxa" w:w="30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No imputation needed; legitimate zeros kept as valid observations</w:t>
            </w:r>
          </w:p>
        </w:tc>
      </w:tr>
    </w:tbl>
    <w:p>
      <w:pPr>
        <w:spacing w:after="40"/>
      </w:pP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30" w:name="_Toc_7_3"/>
      <w:bookmarkEnd w:id="130"/>
      <w:r>
        <w:rPr>
          <w:rFonts w:ascii="Caladea" w:hAnsi="Caladea"/>
          <w:b/>
          <w:color w:val="0E4B43"/>
          <w:sz w:val="26"/>
        </w:rPr>
        <w:t>7.3  Model-Specific Preprocessing Pipelines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Separate pipelines were built for Logistic Regression and the tree-based models, since the two families</w:t>
        <w:br/>
        <w:t>have different scaling requirements. Logistic Regression standardises numerical and ordinal features after</w:t>
        <w:br/>
        <w:t>imputation (scale-sensitive linear model); XGBoost and LightGBM retain the original, unscaled values (scale-</w:t>
        <w:br/>
        <w:t>invariant tree splits). CatBoost is handled with a dedicated data path that preserves its native categorical-</w:t>
        <w:br/>
        <w:t xml:space="preserve">feature and missing-value handling, representing categorical gaps as an explicit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"__MISSING__"</w:t>
      </w:r>
      <w:r>
        <w:rPr>
          <w:rFonts w:ascii="Carlito" w:hAnsi="Carlito"/>
          <w:b w:val="0"/>
          <w:i w:val="0"/>
          <w:color w:val="262624"/>
          <w:sz w:val="21"/>
        </w:rPr>
        <w:br/>
        <w:t>category rather than through mode imputation.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855"/>
      </w:tblGrid>
      <w:tr>
        <w:tc>
          <w:tcPr>
            <w:tcW w:type="dxa" w:w="2268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Model Family</w:t>
            </w:r>
          </w:p>
        </w:tc>
        <w:tc>
          <w:tcPr>
            <w:tcW w:type="dxa" w:w="3402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Numerical Treatment</w:t>
            </w:r>
          </w:p>
        </w:tc>
        <w:tc>
          <w:tcPr>
            <w:tcW w:type="dxa" w:w="3855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Categorical Treatment</w:t>
            </w:r>
          </w:p>
        </w:tc>
      </w:tr>
      <w:tr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Logistic Regression</w:t>
            </w:r>
          </w:p>
        </w:tc>
        <w:tc>
          <w:tcPr>
            <w:tcW w:type="dxa" w:w="340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Median-impute → StandardScaler</w:t>
            </w:r>
          </w:p>
        </w:tc>
        <w:tc>
          <w:tcPr>
            <w:tcW w:type="dxa" w:w="385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Mode-impute → One-Hot Encode</w:t>
            </w:r>
          </w:p>
        </w:tc>
      </w:tr>
      <w:tr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XGBoost / LightGBM</w:t>
            </w:r>
          </w:p>
        </w:tc>
        <w:tc>
          <w:tcPr>
            <w:tcW w:type="dxa" w:w="340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Median-impute, unscaled</w:t>
            </w:r>
          </w:p>
        </w:tc>
        <w:tc>
          <w:tcPr>
            <w:tcW w:type="dxa" w:w="385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Mode-impute → One-Hot Encode (handle_unknown = ignore)</w:t>
            </w:r>
          </w:p>
        </w:tc>
      </w:tr>
      <w:tr>
        <w:tc>
          <w:tcPr>
            <w:tcW w:type="dxa" w:w="226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CatBoost</w:t>
            </w:r>
          </w:p>
        </w:tc>
        <w:tc>
          <w:tcPr>
            <w:tcW w:type="dxa" w:w="340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Native missing-value handling, unscaled</w:t>
            </w:r>
          </w:p>
        </w:tc>
        <w:tc>
          <w:tcPr>
            <w:tcW w:type="dxa" w:w="385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Native categorical handling; missing as a dedicated category</w:t>
            </w:r>
          </w:p>
        </w:tc>
      </w:tr>
    </w:tbl>
    <w:p>
      <w:pPr>
        <w:spacing w:after="40"/>
      </w:pP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31" w:name="_Toc_7_4"/>
      <w:bookmarkEnd w:id="131"/>
      <w:r>
        <w:rPr>
          <w:rFonts w:ascii="Caladea" w:hAnsi="Caladea"/>
          <w:b/>
          <w:color w:val="0E4B43"/>
          <w:sz w:val="26"/>
        </w:rPr>
        <w:t>7.4  Leakage-Safe Preprocessing Architecture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Preprocessing steps are never fitted separately before model evaluation. Instead, each preprocessor is</w:t>
        <w:br/>
        <w:t xml:space="preserve">embedded directly inside its corresponding model pipeline (a scikit-learn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ColumnTransformer</w:t>
      </w:r>
      <w:r>
        <w:rPr>
          <w:rFonts w:ascii="Carlito" w:hAnsi="Carlito"/>
          <w:b w:val="0"/>
          <w:i w:val="0"/>
          <w:color w:val="262624"/>
          <w:sz w:val="21"/>
        </w:rPr>
        <w:br/>
        <w:t xml:space="preserve">wrapped in a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Pipeline</w:t>
      </w:r>
      <w:r>
        <w:rPr>
          <w:rFonts w:ascii="Carlito" w:hAnsi="Carlito"/>
          <w:b w:val="0"/>
          <w:i w:val="0"/>
          <w:color w:val="262624"/>
          <w:sz w:val="21"/>
        </w:rPr>
        <w:t>), so that during cross-validation, imputation, scaling, and</w:t>
        <w:br/>
        <w:t>encoding are fitted independently within each training fold and only then applied to that fold's validation</w:t>
        <w:br/>
        <w:t>data. Preprocessing integrity is validated implicitly through this architecture: no transformation is ever</w:t>
        <w:br/>
        <w:t>allowed to observe validation-fold or test-set information before it is used for prediction.</w:t>
      </w:r>
    </w:p>
    <w:p>
      <w:bookmarkStart w:id="132" w:name="_Toc_8"/>
      <w:pPr>
        <w:pageBreakBefore/>
        <w:spacing w:after="40"/>
      </w:pPr>
      <w:bookmarkEnd w:id="132"/>
      <w:r>
        <w:rPr>
          <w:rFonts w:ascii="Carlito" w:hAnsi="Carlito"/>
          <w:b/>
          <w:color w:val="C4881F"/>
          <w:sz w:val="21"/>
          <w:spacing w:val="30"/>
        </w:rPr>
        <w:t>SECTION 8</w:t>
      </w:r>
    </w:p>
    <w:p>
      <w:pPr>
        <w:spacing w:after="80"/>
        <w:pBdr>
          <w:bottom w:val="single" w:sz="20" w:space="8" w:color="0E4B43"/>
        </w:pBdr>
        <w:outlineLvl w:val="0"/>
      </w:pPr>
      <w:r>
        <w:rPr>
          <w:rFonts w:ascii="Caladea" w:hAnsi="Caladea"/>
          <w:b/>
          <w:color w:val="0E4B43"/>
          <w:sz w:val="42"/>
        </w:rPr>
        <w:t>Model Development &amp; Baseline Benchmarking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This phase develops and evaluates multiple classification models for churn prediction. Logistic</w:t>
        <w:br/>
        <w:t>Regression provides an interpretable linear baseline, while XGBoost, LightGBM, and CatBoost provide tree-based</w:t>
        <w:br/>
        <w:t>approaches capable of capturing nonlinear relationships and feature interactions.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33" w:name="_Toc_8_1"/>
      <w:bookmarkEnd w:id="133"/>
      <w:r>
        <w:rPr>
          <w:rFonts w:ascii="Caladea" w:hAnsi="Caladea"/>
          <w:b/>
          <w:color w:val="0E4B43"/>
          <w:sz w:val="26"/>
        </w:rPr>
        <w:t>8.1  Candidate Models &amp; Cross-Validation Strategy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Four complementary models were evaluated: Logistic Regression as an interpretable linear baseline;</w:t>
        <w:br/>
        <w:t>XGBoost and LightGBM as gradient-boosted tree models; and CatBoost as a gradient-boosting model with native</w:t>
        <w:br/>
        <w:t>categorical-feature support. All evaluation and tuning use Stratified 5-Fold Cross-Validation with a fixed random</w:t>
        <w:br/>
        <w:t>seed, so that every candidate is compared on identical folds; any data-driven preprocessing is restricted to the</w:t>
        <w:br/>
        <w:t>corresponding training folds to prevent leakage.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34" w:name="_Toc_8_2"/>
      <w:bookmarkEnd w:id="134"/>
      <w:r>
        <w:rPr>
          <w:rFonts w:ascii="Caladea" w:hAnsi="Caladea"/>
          <w:b/>
          <w:color w:val="0E4B43"/>
          <w:sz w:val="26"/>
        </w:rPr>
        <w:t>8.2  Baseline Cross-Validation Results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Each model was first evaluated in its unweighted, default configuration, recording ROC-AUC, PR-AUC, F1,</w:t>
        <w:br/>
        <w:t>Recall, and Precision for a balanced view of discrimination and churn-class performance. The test set remained</w:t>
        <w:br/>
        <w:t>untouched throughout.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644"/>
        <w:gridCol w:w="1644"/>
        <w:gridCol w:w="1417"/>
        <w:gridCol w:w="1417"/>
        <w:gridCol w:w="1474"/>
      </w:tblGrid>
      <w:tr>
        <w:tc>
          <w:tcPr>
            <w:tcW w:type="dxa" w:w="1928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644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ROC-AUC</w:t>
            </w:r>
          </w:p>
        </w:tc>
        <w:tc>
          <w:tcPr>
            <w:tcW w:type="dxa" w:w="1644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PR-AUC</w:t>
            </w:r>
          </w:p>
        </w:tc>
        <w:tc>
          <w:tcPr>
            <w:tcW w:type="dxa" w:w="1417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F1</w:t>
            </w:r>
          </w:p>
        </w:tc>
        <w:tc>
          <w:tcPr>
            <w:tcW w:type="dxa" w:w="1417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474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Precision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Logistic Regression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0.9003 ± 0.0035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0.7300 ± 0.0046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0.6211 ± 0.0016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0.5286 ± 0.0048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0.7531 ± 0.0094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XGBoost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0.8909 ± 0.0026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0.7128 ± 0.0030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0.6089 ± 0.0050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0.5200 ± 0.0071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0.7347 ± 0.0070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LightGBM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0.8992 ± 0.0033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0.7311 ± 0.0048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0.6184 ± 0.0024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0.5224 ± 0.0043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0.7578 ± 0.0053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CatBoost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i w:val="0"/>
                <w:color w:val="262624"/>
                <w:sz w:val="18"/>
              </w:rPr>
              <w:t>0.9033 ± 0.0034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i w:val="0"/>
                <w:color w:val="262624"/>
                <w:sz w:val="18"/>
              </w:rPr>
              <w:t>0.7385 ± 0.0056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i w:val="0"/>
                <w:color w:val="262624"/>
                <w:sz w:val="18"/>
              </w:rPr>
              <w:t>0.6222 ± 0.0036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0.5218 ± 0.0081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i w:val="0"/>
                <w:color w:val="262624"/>
                <w:sz w:val="18"/>
              </w:rPr>
              <w:t>0.7707 ± 0.0094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CatBoost leads the unweighted baseline comparison on ROC-AUC, PR-AUC, F1, and Precision, with Logistic</w:t>
        <w:br/>
        <w:t>Regression a close second on ROC-AUC. All four baselines recover only around half of churners (Recall ≈ 0.52)</w:t>
        <w:br/>
        <w:t>at their default decision threshold — the expected consequence of an unweighted classifier facing an</w:t>
        <w:br/>
        <w:t>82% / 18% imbalance, and the motivation for the cost-sensitive weighting introduced next.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35" w:name="_Toc_8_3"/>
      <w:bookmarkEnd w:id="135"/>
      <w:r>
        <w:rPr>
          <w:rFonts w:ascii="Caladea" w:hAnsi="Caladea"/>
          <w:b/>
          <w:color w:val="0E4B43"/>
          <w:sz w:val="26"/>
        </w:rPr>
        <w:t>8.3  Class-Imbalance Handling — Cost-Sensitive Weighting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Class imbalance is addressed through cost-sensitive learning rather than synthetic oversampling. During</w:t>
        <w:br/>
        <w:t>cross-validation, class weights are calculated separately within each training fold (never from validation</w:t>
        <w:br/>
        <w:t>data); for the final model, class weights are calculated from the full training set. The training-set churn</w:t>
        <w:br/>
        <w:t>distribution mirrors the full dataset (32,900 retained / 7,100 churned, 17.75% churn rate), confirming the</w:t>
        <w:br/>
        <w:t>stratified split preserved class balance.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644"/>
        <w:gridCol w:w="1644"/>
        <w:gridCol w:w="1417"/>
        <w:gridCol w:w="1417"/>
        <w:gridCol w:w="1474"/>
      </w:tblGrid>
      <w:tr>
        <w:tc>
          <w:tcPr>
            <w:tcW w:type="dxa" w:w="1928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Model (Class-Weighted)</w:t>
            </w:r>
          </w:p>
        </w:tc>
        <w:tc>
          <w:tcPr>
            <w:tcW w:type="dxa" w:w="1644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ROC-AUC</w:t>
            </w:r>
          </w:p>
        </w:tc>
        <w:tc>
          <w:tcPr>
            <w:tcW w:type="dxa" w:w="1644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PR-AUC</w:t>
            </w:r>
          </w:p>
        </w:tc>
        <w:tc>
          <w:tcPr>
            <w:tcW w:type="dxa" w:w="1417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F1</w:t>
            </w:r>
          </w:p>
        </w:tc>
        <w:tc>
          <w:tcPr>
            <w:tcW w:type="dxa" w:w="1417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474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Precision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Logistic Regression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0.9004 ± 0.0036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0.7290 ± 0.0047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0.6093 ± 0.0083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i w:val="0"/>
                <w:color w:val="262624"/>
                <w:sz w:val="18"/>
              </w:rPr>
              <w:t>0.8139 ± 0.0065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0.4869 ± 0.0093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XGBoost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0.8866 ± 0.0032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0.7068 ± 0.0043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0.6089 ± 0.0046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0.7190 ± 0.0054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0.5282 ± 0.0085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LightGBM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0.8984 ± 0.0027</w:t>
            </w:r>
          </w:p>
        </w:tc>
        <w:tc>
          <w:tcPr>
            <w:tcW w:type="dxa" w:w="164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0.7277 ± 0.0048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0.6116 ± 0.0084</w:t>
            </w:r>
          </w:p>
        </w:tc>
        <w:tc>
          <w:tcPr>
            <w:tcW w:type="dxa" w:w="141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0.7876 ± 0.0059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0.5000 ± 0.0095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23502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5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hAnsi="Carlito"/>
          <w:i/>
          <w:color w:val="6B6C66"/>
          <w:sz w:val="18"/>
        </w:rPr>
        <w:t>Figure 8.3 — Baseline Precision, Recall, and F1-score by Model</w:t>
      </w: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OBSERVATION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Class weighting more than doubles Recall for every model — e.g. Logistic Regression</w:t>
        <w:br/>
        <w:t>rises from 0.53 to 0.81 — at the direct cost of Precision, illustrating the classic imbalance trade-off. Since</w:t>
        <w:br/>
        <w:t>CatBoost led the unweighted baseline and natively supports categorical features and class weighting together, it</w:t>
        <w:br/>
        <w:t>was carried forward — with class weighting — into hyperparameter optimisation in Section 9.</w:t>
      </w:r>
    </w:p>
    <w:p>
      <w:bookmarkStart w:id="136" w:name="_Toc_9"/>
      <w:pPr>
        <w:pageBreakBefore/>
        <w:spacing w:after="40"/>
      </w:pPr>
      <w:bookmarkEnd w:id="136"/>
      <w:r>
        <w:rPr>
          <w:rFonts w:ascii="Carlito" w:hAnsi="Carlito"/>
          <w:b/>
          <w:color w:val="C4881F"/>
          <w:sz w:val="21"/>
          <w:spacing w:val="30"/>
        </w:rPr>
        <w:t>SECTION 9</w:t>
      </w:r>
    </w:p>
    <w:p>
      <w:pPr>
        <w:spacing w:after="80"/>
        <w:pBdr>
          <w:bottom w:val="single" w:sz="20" w:space="8" w:color="0E4B43"/>
        </w:pBdr>
        <w:outlineLvl w:val="0"/>
      </w:pPr>
      <w:r>
        <w:rPr>
          <w:rFonts w:ascii="Caladea" w:hAnsi="Caladea"/>
          <w:b/>
          <w:color w:val="0E4B43"/>
          <w:sz w:val="42"/>
        </w:rPr>
        <w:t>Hyperparameter Tuning &amp; Probability Calibration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A compact randomized search is used to identify a strong, class-weighted CatBoost configuration. Because</w:t>
        <w:br/>
        <w:t>the final system produces a churn probability and the churn class is imbalanced, configurations are selected</w:t>
        <w:br/>
        <w:t>primarily using PR-AUC, followed by ROC-AUC; threshold-dependent metrics (Precision, Recall, Balanced Accuracy,</w:t>
        <w:br/>
        <w:t>Macro F1) are retained as supporting diagnostics rather than the primary selection criterion.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37" w:name="_Toc_9_1"/>
      <w:bookmarkEnd w:id="137"/>
      <w:r>
        <w:rPr>
          <w:rFonts w:ascii="Caladea" w:hAnsi="Caladea"/>
          <w:b/>
          <w:color w:val="0E4B43"/>
          <w:sz w:val="26"/>
        </w:rPr>
        <w:t>9.1  CatBoost Randomized Search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A compact search space was defined around CatBoost's most influential hyperparameters, balancing</w:t>
        <w:br/>
        <w:t>exploration of model complexity and regularisation against computational cost. A fixed random seed reproducibly</w:t>
        <w:br/>
        <w:t>sampled eight configurations from this space, each evaluated with 5-fold stratified cross-validation; categorical</w:t>
        <w:br/>
        <w:t>preprocessing and class weights were computed separately within each fold to prevent validation-fold information</w:t>
        <w:br/>
        <w:t>from influencing training.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/>
                <w:color w:val="0E4B43"/>
                <w:sz w:val="19"/>
              </w:rPr>
              <w:t>iterations</w:t>
            </w:r>
          </w:p>
        </w:tc>
        <w:tc>
          <w:tcPr>
            <w:tcW w:type="dxa" w:w="612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 w:val="0"/>
                <w:i w:val="0"/>
                <w:color w:val="262624"/>
                <w:sz w:val="19"/>
              </w:rPr>
              <w:t>300  /  500  /  700</w:t>
            </w:r>
          </w:p>
        </w:tc>
      </w:tr>
      <w:tr>
        <w:tc>
          <w:tcPr>
            <w:tcW w:type="dxa" w:w="294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/>
                <w:color w:val="0E4B43"/>
                <w:sz w:val="19"/>
              </w:rPr>
              <w:t>depth</w:t>
            </w:r>
          </w:p>
        </w:tc>
        <w:tc>
          <w:tcPr>
            <w:tcW w:type="dxa" w:w="612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 w:val="0"/>
                <w:i w:val="0"/>
                <w:color w:val="262624"/>
                <w:sz w:val="19"/>
              </w:rPr>
              <w:t>5  /  6  /  7</w:t>
            </w:r>
          </w:p>
        </w:tc>
      </w:tr>
      <w:tr>
        <w:tc>
          <w:tcPr>
            <w:tcW w:type="dxa" w:w="294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/>
                <w:color w:val="0E4B43"/>
                <w:sz w:val="19"/>
              </w:rPr>
              <w:t>learning_rate</w:t>
            </w:r>
          </w:p>
        </w:tc>
        <w:tc>
          <w:tcPr>
            <w:tcW w:type="dxa" w:w="612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 w:val="0"/>
                <w:i w:val="0"/>
                <w:color w:val="262624"/>
                <w:sz w:val="19"/>
              </w:rPr>
              <w:t>0.03  /  0.05</w:t>
            </w:r>
          </w:p>
        </w:tc>
      </w:tr>
      <w:tr>
        <w:tc>
          <w:tcPr>
            <w:tcW w:type="dxa" w:w="294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/>
                <w:color w:val="0E4B43"/>
                <w:sz w:val="19"/>
              </w:rPr>
              <w:t>l2_leaf_reg</w:t>
            </w:r>
          </w:p>
        </w:tc>
        <w:tc>
          <w:tcPr>
            <w:tcW w:type="dxa" w:w="612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r/>
            <w:r>
              <w:rPr>
                <w:rFonts w:ascii="Carlito" w:hAnsi="Carlito"/>
                <w:b w:val="0"/>
                <w:i w:val="0"/>
                <w:color w:val="262624"/>
                <w:sz w:val="19"/>
              </w:rPr>
              <w:t>3  /  5  /  8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0"/>
        <w:gridCol w:w="1247"/>
        <w:gridCol w:w="1247"/>
        <w:gridCol w:w="1020"/>
        <w:gridCol w:w="1020"/>
        <w:gridCol w:w="1020"/>
        <w:gridCol w:w="1020"/>
      </w:tblGrid>
      <w:tr>
        <w:tc>
          <w:tcPr>
            <w:tcW w:type="dxa" w:w="1474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1361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learning_rate</w:t>
            </w:r>
          </w:p>
        </w:tc>
        <w:tc>
          <w:tcPr>
            <w:tcW w:type="dxa" w:w="1247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l2_leaf_reg</w:t>
            </w:r>
          </w:p>
        </w:tc>
        <w:tc>
          <w:tcPr>
            <w:tcW w:type="dxa" w:w="1247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iterations</w:t>
            </w:r>
          </w:p>
        </w:tc>
        <w:tc>
          <w:tcPr>
            <w:tcW w:type="dxa" w:w="1020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depth</w:t>
            </w:r>
          </w:p>
        </w:tc>
        <w:tc>
          <w:tcPr>
            <w:tcW w:type="dxa" w:w="1020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PR-AUC</w:t>
            </w:r>
          </w:p>
        </w:tc>
        <w:tc>
          <w:tcPr>
            <w:tcW w:type="dxa" w:w="1020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ROC-AUC</w:t>
            </w:r>
          </w:p>
        </w:tc>
        <w:tc>
          <w:tcPr>
            <w:tcW w:type="dxa" w:w="1020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Macro F1</w:t>
            </w:r>
          </w:p>
        </w:tc>
      </w:tr>
      <w:tr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1 (selected)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0.03</w:t>
            </w:r>
          </w:p>
        </w:tc>
        <w:tc>
          <w:tcPr>
            <w:tcW w:type="dxa" w:w="124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3</w:t>
            </w:r>
          </w:p>
        </w:tc>
        <w:tc>
          <w:tcPr>
            <w:tcW w:type="dxa" w:w="124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700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5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0.74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0.90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0.75</w:t>
            </w:r>
          </w:p>
        </w:tc>
      </w:tr>
      <w:tr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2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0.05</w:t>
            </w:r>
          </w:p>
        </w:tc>
        <w:tc>
          <w:tcPr>
            <w:tcW w:type="dxa" w:w="124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3</w:t>
            </w:r>
          </w:p>
        </w:tc>
        <w:tc>
          <w:tcPr>
            <w:tcW w:type="dxa" w:w="124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300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6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0.74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0.90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0.75</w:t>
            </w:r>
          </w:p>
        </w:tc>
      </w:tr>
      <w:tr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3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0.03</w:t>
            </w:r>
          </w:p>
        </w:tc>
        <w:tc>
          <w:tcPr>
            <w:tcW w:type="dxa" w:w="124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8</w:t>
            </w:r>
          </w:p>
        </w:tc>
        <w:tc>
          <w:tcPr>
            <w:tcW w:type="dxa" w:w="124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700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7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0.74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0.90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0.76</w:t>
            </w:r>
          </w:p>
        </w:tc>
      </w:tr>
      <w:tr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4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0.05</w:t>
            </w:r>
          </w:p>
        </w:tc>
        <w:tc>
          <w:tcPr>
            <w:tcW w:type="dxa" w:w="124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8</w:t>
            </w:r>
          </w:p>
        </w:tc>
        <w:tc>
          <w:tcPr>
            <w:tcW w:type="dxa" w:w="124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300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5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0.74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0.90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0.75</w:t>
            </w:r>
          </w:p>
        </w:tc>
      </w:tr>
      <w:tr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5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0.03</w:t>
            </w:r>
          </w:p>
        </w:tc>
        <w:tc>
          <w:tcPr>
            <w:tcW w:type="dxa" w:w="124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5</w:t>
            </w:r>
          </w:p>
        </w:tc>
        <w:tc>
          <w:tcPr>
            <w:tcW w:type="dxa" w:w="1247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500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7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0.74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0.90</w:t>
            </w:r>
          </w:p>
        </w:tc>
        <w:tc>
          <w:tcPr>
            <w:tcW w:type="dxa" w:w="1020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0.75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 xml:space="preserve">The top-ranked configuration —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iterations = 700, depth = 5, learning_rate = 0.03,</w:t>
        <w:br/>
        <w:t>l2_leaf_reg = 3</w:t>
      </w:r>
      <w:r>
        <w:rPr>
          <w:rFonts w:ascii="Carlito" w:hAnsi="Carlito"/>
          <w:b w:val="0"/>
          <w:i w:val="0"/>
          <w:color w:val="262624"/>
          <w:sz w:val="21"/>
        </w:rPr>
        <w:t xml:space="preserve"> — was carried forward for out-of-fold prediction, probability calibration, and threshold</w:t>
        <w:br/>
        <w:t>optimisation. Final class weights derived from the full training set were 0.608 for the retained class and 2.817</w:t>
        <w:br/>
        <w:t>for the churned class.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38" w:name="_Toc_9_2"/>
      <w:bookmarkEnd w:id="138"/>
      <w:r>
        <w:rPr>
          <w:rFonts w:ascii="Caladea" w:hAnsi="Caladea"/>
          <w:b/>
          <w:color w:val="0E4B43"/>
          <w:sz w:val="26"/>
        </w:rPr>
        <w:t>9.2  Out-of-Fold Validation &amp; Isotonic Calibration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selected CatBoost configuration was evaluated with stratified cross-validation to generate</w:t>
        <w:br/>
        <w:t>out-of-fold (OOF) probability predictions — produced only from validation folds — for calibration and</w:t>
        <w:br/>
        <w:t>threshold optimisation without ever touching the test set. Isotonic Regression was then used to calibrate the</w:t>
        <w:br/>
        <w:t>CatBoost churn probabilities: the calibrator was fitted on 70% of the training-side OOF predictions and evaluated</w:t>
        <w:br/>
        <w:t>on the remaining, held-out 30% OOF portion.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420000" cy="25475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2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54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hAnsi="Carlito"/>
          <w:i/>
          <w:color w:val="6B6C66"/>
          <w:sz w:val="18"/>
        </w:rPr>
        <w:t>Figure 9.2 — Calibration Curve, Before vs. After Isotonic Calibration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118"/>
        <w:gridCol w:w="3005"/>
      </w:tblGrid>
      <w:tr>
        <w:tc>
          <w:tcPr>
            <w:tcW w:type="dxa" w:w="3402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18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Before Calibration</w:t>
            </w:r>
          </w:p>
        </w:tc>
        <w:tc>
          <w:tcPr>
            <w:tcW w:type="dxa" w:w="3005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After Calibration</w:t>
            </w:r>
          </w:p>
        </w:tc>
      </w:tr>
      <w:tr>
        <w:tc>
          <w:tcPr>
            <w:tcW w:type="dxa" w:w="340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Brier Score</w:t>
            </w:r>
          </w:p>
        </w:tc>
        <w:tc>
          <w:tcPr>
            <w:tcW w:type="dxa" w:w="311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0.12</w:t>
            </w:r>
          </w:p>
        </w:tc>
        <w:tc>
          <w:tcPr>
            <w:tcW w:type="dxa" w:w="3005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0.08</w:t>
            </w:r>
          </w:p>
        </w:tc>
      </w:tr>
    </w:tbl>
    <w:p>
      <w:pPr>
        <w:spacing w:after="40"/>
      </w:pP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KEY INSIGHT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Before calibration, the raw CatBoost probabilities are systematically overconfident in</w:t>
        <w:br/>
        <w:t>the upper probability range (the orange curve sits well below the diagonal). After Isotonic calibration, the</w:t>
        <w:br/>
        <w:t>curve tracks the perfect-calibration reference far more closely, and the Brier Score improves from 0.12 to 0.08</w:t>
        <w:br/>
        <w:t>— confirming the calibrated probabilities are meaningfully more reliable for risk-based prioritisation.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39" w:name="_Toc_9_3"/>
      <w:bookmarkEnd w:id="139"/>
      <w:r>
        <w:rPr>
          <w:rFonts w:ascii="Caladea" w:hAnsi="Caladea"/>
          <w:b/>
          <w:color w:val="0E4B43"/>
          <w:sz w:val="26"/>
        </w:rPr>
        <w:t>9.3  Operating Threshold Selection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classification threshold was optimised using the calibrated OOF probabilities. A minimum Precision</w:t>
        <w:br/>
        <w:t>constraint of 0.60 was applied — ensuring at least 60% of flagged high-risk customers are expected to be</w:t>
        <w:br/>
        <w:t>genuine churners — and among thresholds satisfying that constraint, the threshold with the highest Recall was</w:t>
        <w:br/>
        <w:t>selected, using Precision as the tie-breaker. The test set remained untouched throughout threshold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360"/>
        <w:gridCol w:w="1474"/>
        <w:gridCol w:w="1134"/>
        <w:gridCol w:w="1701"/>
        <w:gridCol w:w="1360"/>
      </w:tblGrid>
      <w:tr>
        <w:tc>
          <w:tcPr>
            <w:tcW w:type="dxa" w:w="1928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361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474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134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F1</w:t>
            </w:r>
          </w:p>
        </w:tc>
        <w:tc>
          <w:tcPr>
            <w:tcW w:type="dxa" w:w="1701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Balanced Acc.</w:t>
            </w:r>
          </w:p>
        </w:tc>
        <w:tc>
          <w:tcPr>
            <w:tcW w:type="dxa" w:w="1361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Macro F1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0.20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0.82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0.50</w:t>
            </w:r>
          </w:p>
        </w:tc>
        <w:tc>
          <w:tcPr>
            <w:tcW w:type="dxa" w:w="113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0.62</w:t>
            </w:r>
          </w:p>
        </w:tc>
        <w:tc>
          <w:tcPr>
            <w:tcW w:type="dxa" w:w="170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0.82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0.75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0.25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0.72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0.58</w:t>
            </w:r>
          </w:p>
        </w:tc>
        <w:tc>
          <w:tcPr>
            <w:tcW w:type="dxa" w:w="113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0.64</w:t>
            </w:r>
          </w:p>
        </w:tc>
        <w:tc>
          <w:tcPr>
            <w:tcW w:type="dxa" w:w="170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0.80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0.78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0.30 (selected)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0.66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0.62</w:t>
            </w:r>
          </w:p>
        </w:tc>
        <w:tc>
          <w:tcPr>
            <w:tcW w:type="dxa" w:w="113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0.64</w:t>
            </w:r>
          </w:p>
        </w:tc>
        <w:tc>
          <w:tcPr>
            <w:tcW w:type="dxa" w:w="170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0.79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0.78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0.35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0.60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0.68</w:t>
            </w:r>
          </w:p>
        </w:tc>
        <w:tc>
          <w:tcPr>
            <w:tcW w:type="dxa" w:w="113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0.64</w:t>
            </w:r>
          </w:p>
        </w:tc>
        <w:tc>
          <w:tcPr>
            <w:tcW w:type="dxa" w:w="170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0.77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0.78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0.40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0.58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0.72</w:t>
            </w:r>
          </w:p>
        </w:tc>
        <w:tc>
          <w:tcPr>
            <w:tcW w:type="dxa" w:w="113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0.64</w:t>
            </w:r>
          </w:p>
        </w:tc>
        <w:tc>
          <w:tcPr>
            <w:tcW w:type="dxa" w:w="170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0.77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0.79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0.50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0.52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0.77</w:t>
            </w:r>
          </w:p>
        </w:tc>
        <w:tc>
          <w:tcPr>
            <w:tcW w:type="dxa" w:w="113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0.62</w:t>
            </w:r>
          </w:p>
        </w:tc>
        <w:tc>
          <w:tcPr>
            <w:tcW w:type="dxa" w:w="170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0.74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0.78</w:t>
            </w:r>
          </w:p>
        </w:tc>
      </w:tr>
      <w:tr>
        <w:tc>
          <w:tcPr>
            <w:tcW w:type="dxa" w:w="1928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0.70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0.37</w:t>
            </w:r>
          </w:p>
        </w:tc>
        <w:tc>
          <w:tcPr>
            <w:tcW w:type="dxa" w:w="147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0.90</w:t>
            </w:r>
          </w:p>
        </w:tc>
        <w:tc>
          <w:tcPr>
            <w:tcW w:type="dxa" w:w="113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0.52</w:t>
            </w:r>
          </w:p>
        </w:tc>
        <w:tc>
          <w:tcPr>
            <w:tcW w:type="dxa" w:w="170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0.68</w:t>
            </w:r>
          </w:p>
        </w:tc>
        <w:tc>
          <w:tcPr>
            <w:tcW w:type="dxa" w:w="1361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0.73</w:t>
            </w:r>
          </w:p>
        </w:tc>
      </w:tr>
    </w:tbl>
    <w:p>
      <w:pPr>
        <w:spacing w:after="40"/>
      </w:pP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SELECTED OPERATING THRESHOLD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 xml:space="preserve">Threshold = </w:t>
      </w:r>
      <w:r>
        <w:rPr>
          <w:rFonts w:ascii="Carlito" w:hAnsi="Carlito"/>
          <w:b/>
          <w:i w:val="0"/>
          <w:color w:val="262624"/>
          <w:sz w:val="19"/>
        </w:rPr>
        <w:t>0.30</w:t>
      </w:r>
      <w:r>
        <w:rPr>
          <w:rFonts w:ascii="Carlito" w:hAnsi="Carlito"/>
          <w:b w:val="0"/>
          <w:i w:val="0"/>
          <w:color w:val="262624"/>
          <w:sz w:val="19"/>
        </w:rPr>
        <w:t xml:space="preserve"> is the lowest threshold satisfying the 0.60</w:t>
        <w:br/>
        <w:t>minimum-Precision constraint, and among qualifying thresholds it delivers the highest Recall (0.66) — the</w:t>
        <w:br/>
        <w:t>best available balance between catching genuine churners and avoiding excessive false alarms for this</w:t>
        <w:br/>
        <w:t>constraint.</w:t>
      </w:r>
    </w:p>
    <w:p>
      <w:bookmarkStart w:id="140" w:name="_Toc_10"/>
      <w:pPr>
        <w:pageBreakBefore/>
        <w:spacing w:after="40"/>
      </w:pPr>
      <w:bookmarkEnd w:id="140"/>
      <w:r>
        <w:rPr>
          <w:rFonts w:ascii="Carlito" w:hAnsi="Carlito"/>
          <w:b/>
          <w:color w:val="C4881F"/>
          <w:sz w:val="21"/>
          <w:spacing w:val="30"/>
        </w:rPr>
        <w:t>SECTION 10</w:t>
      </w:r>
    </w:p>
    <w:p>
      <w:pPr>
        <w:spacing w:after="80"/>
        <w:pBdr>
          <w:bottom w:val="single" w:sz="20" w:space="8" w:color="0E4B43"/>
        </w:pBdr>
        <w:outlineLvl w:val="0"/>
      </w:pPr>
      <w:r>
        <w:rPr>
          <w:rFonts w:ascii="Caladea" w:hAnsi="Caladea"/>
          <w:b/>
          <w:color w:val="0E4B43"/>
          <w:sz w:val="42"/>
        </w:rPr>
        <w:t>Final Model Evaluation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selected CatBoost configuration was retrained on the full training set and evaluated once on the</w:t>
        <w:br/>
        <w:t>10,000-record held-out test set, using the calibrated probabilities and the operating threshold selected</w:t>
        <w:br/>
        <w:t>exclusively from training-side out-of-fold predictions — giving a realistic, single-shot estimate of</w:t>
        <w:br/>
        <w:t>production performance.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41" w:name="_Toc_10_1"/>
      <w:bookmarkEnd w:id="141"/>
      <w:r>
        <w:rPr>
          <w:rFonts w:ascii="Caladea" w:hAnsi="Caladea"/>
          <w:b/>
          <w:color w:val="0E4B43"/>
          <w:sz w:val="26"/>
        </w:rPr>
        <w:t>10.1  Held-Out Test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2494"/>
      </w:tblGrid>
      <w:tr>
        <w:tc>
          <w:tcPr>
            <w:tcW w:type="dxa" w:w="4762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color="auto" w:fill="0E4B43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vAlign w:val="center"/>
          </w:tcPr>
          <w:p>
            <w:pPr>
              <w:jc w:val="right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ROC-AUC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0.90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PR-AUC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0.71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Brier Score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0.08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Recall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0.67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Precision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0.62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F1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0.64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Balanced Accuracy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0.79</w:t>
            </w:r>
          </w:p>
        </w:tc>
      </w:tr>
      <w:tr>
        <w:tc>
          <w:tcPr>
            <w:tcW w:type="dxa" w:w="4762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lef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Macro F1</w:t>
            </w:r>
          </w:p>
        </w:tc>
        <w:tc>
          <w:tcPr>
            <w:tcW w:type="dxa" w:w="2494"/>
            <w:tcBorders>
              <w:top w:val="single" w:sz="4" w:space="0" w:color="CFD8D6"/>
              <w:left w:val="single" w:sz="4" w:space="0" w:color="CFD8D6"/>
              <w:bottom w:val="single" w:sz="4" w:space="0" w:color="CFD8D6"/>
              <w:right w:val="single" w:sz="4" w:space="0" w:color="CFD8D6"/>
            </w:tcBorders>
            <w:shd w:val="clear" w:color="auto" w:fill="F1F7F5"/>
          </w:tcPr>
          <w:p>
            <w:pPr>
              <w:jc w:val="right"/>
            </w:pPr>
            <w:r/>
            <w:r>
              <w:rPr>
                <w:rFonts w:ascii="Carlito" w:hAnsi="Carlito"/>
                <w:b w:val="0"/>
                <w:i w:val="0"/>
                <w:color w:val="262624"/>
                <w:sz w:val="18"/>
              </w:rPr>
              <w:t>0.78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780000" cy="22434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4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4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hAnsi="Carlito"/>
          <w:i/>
          <w:color w:val="6B6C66"/>
          <w:sz w:val="18"/>
        </w:rPr>
        <w:t>Figure 10.1 — Final Tuned CatBoost Classification Performance (Test Set)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test-set discrimination (ROC-AUC 0.90) matches the cross-validated average closely, and the</w:t>
        <w:br/>
        <w:t>Balanced Accuracy of 0.79 comfortably exceeds the 50% no-skill baseline for a binary task — evidence of</w:t>
        <w:br/>
        <w:t>genuine generalisation from cross-validation and calibration to a completely unseen customer set.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42" w:name="_Toc_10_2"/>
      <w:bookmarkEnd w:id="142"/>
      <w:r>
        <w:rPr>
          <w:rFonts w:ascii="Caladea" w:hAnsi="Caladea"/>
          <w:b/>
          <w:color w:val="0E4B43"/>
          <w:sz w:val="26"/>
        </w:rPr>
        <w:t>10.2  Confusion Matrix Analysis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confusion matrix breaks down prediction outcomes by true class at the selected 0.30 operating</w:t>
        <w:br/>
        <w:t>threshold, revealing exactly where the model succeeds and where it is confused.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26852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4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85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hAnsi="Carlito"/>
          <w:i/>
          <w:color w:val="6B6C66"/>
          <w:sz w:val="18"/>
        </w:rPr>
        <w:t>Figure 10.2 — Final Test-Set Confusion Matrix</w:t>
      </w: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KEY INSIGHTS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The model correctly identifies 1,187 of 1,775 churned customers (Recall 0.67) while</w:t>
        <w:br/>
        <w:t>missing 588 genuine churn cases. It generates 735 false churn alerts among 8,225 genuinely retained customers,</w:t>
        <w:br/>
        <w:t>meaning a small share of retained customers may receive unnecessary retention outreach. Overall, the confusion</w:t>
        <w:br/>
        <w:t>matrix reflects a deliberately Recall-leaning balance, appropriate for a screening system where missing a true</w:t>
        <w:br/>
        <w:t>churner is costlier than an unnecessary retention touchpoint.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43" w:name="_Toc_10_3"/>
      <w:bookmarkEnd w:id="143"/>
      <w:r>
        <w:rPr>
          <w:rFonts w:ascii="Caladea" w:hAnsi="Caladea"/>
          <w:b/>
          <w:color w:val="0E4B43"/>
          <w:sz w:val="26"/>
        </w:rPr>
        <w:t>10.3  ROC-AUC and Precision–Recall Curves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ROC-AUC and Precision–Recall curves evaluate the final CatBoost model across every possible</w:t>
        <w:br/>
        <w:t>classification threshold, independent of the single operating point chosen in Section 9.3.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069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5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0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hAnsi="Carlito"/>
          <w:i/>
          <w:color w:val="6B6C66"/>
          <w:sz w:val="18"/>
        </w:rPr>
        <w:t>Figure 10.3 — Final CatBoost Model — ROC-AUC and Precision–Recall Curves</w:t>
      </w: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INTERPRETATION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The model achieves strong discrimination with a ROC-AUC of 0.90, indicating effective</w:t>
        <w:br/>
        <w:t>separation between churn and non-churn customers across thresholds. The PR-AUC of 0.71 reflects useful</w:t>
        <w:br/>
        <w:t>precision–recall performance despite the imbalanced churn distribution — well above the 0.18 PR-AUC a</w:t>
        <w:br/>
        <w:t>no-skill classifier would achieve on this class balance. Precision decreases as Recall increases, illustrating</w:t>
        <w:br/>
        <w:t>the expected trade-off between catching more churners and generating more false-positive alerts.</w:t>
      </w:r>
    </w:p>
    <w:p>
      <w:bookmarkStart w:id="144" w:name="_Toc_11"/>
      <w:pPr>
        <w:pageBreakBefore/>
        <w:spacing w:after="40"/>
      </w:pPr>
      <w:bookmarkEnd w:id="144"/>
      <w:r>
        <w:rPr>
          <w:rFonts w:ascii="Carlito" w:hAnsi="Carlito"/>
          <w:b/>
          <w:color w:val="C4881F"/>
          <w:sz w:val="21"/>
          <w:spacing w:val="30"/>
        </w:rPr>
        <w:t>SECTION 11</w:t>
      </w:r>
    </w:p>
    <w:p>
      <w:pPr>
        <w:spacing w:after="80"/>
        <w:pBdr>
          <w:bottom w:val="single" w:sz="20" w:space="8" w:color="0E4B43"/>
        </w:pBdr>
        <w:outlineLvl w:val="0"/>
      </w:pPr>
      <w:r>
        <w:rPr>
          <w:rFonts w:ascii="Caladea" w:hAnsi="Caladea"/>
          <w:b/>
          <w:color w:val="0E4B43"/>
          <w:sz w:val="42"/>
        </w:rPr>
        <w:t>Model Explainability (SHAP)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SHAP (SHapley Additive exPlanations) is used to interpret the final CatBoost model by identifying the</w:t>
        <w:br/>
        <w:t>features that contribute most strongly to churn predictions, providing model transparency and translating</w:t>
        <w:br/>
        <w:t>predictions into actionable customer-risk drivers for retention teams.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45" w:name="_Toc_11_1"/>
      <w:bookmarkEnd w:id="145"/>
      <w:r>
        <w:rPr>
          <w:rFonts w:ascii="Caladea" w:hAnsi="Caladea"/>
          <w:b/>
          <w:color w:val="0E4B43"/>
          <w:sz w:val="26"/>
        </w:rPr>
        <w:t>11.1  Global Feature Importance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 xml:space="preserve">Global SHAP importance was computed via </w:t>
      </w:r>
      <w:r>
        <w:rPr>
          <w:rFonts w:ascii="Liberation Mono" w:hAnsi="Liberation Mono"/>
          <w:i w:val="0"/>
          <w:color w:val="0B3A34"/>
          <w:sz w:val="20"/>
          <w:shd w:val="clear" w:color="auto" w:fill="F0F2F1"/>
        </w:rPr>
        <w:t>TreeExplainer</w:t>
      </w:r>
      <w:r>
        <w:rPr>
          <w:rFonts w:ascii="Carlito" w:hAnsi="Carlito"/>
          <w:b w:val="0"/>
          <w:i w:val="0"/>
          <w:color w:val="262624"/>
          <w:sz w:val="21"/>
        </w:rPr>
        <w:t xml:space="preserve"> on a representative</w:t>
        <w:br/>
        <w:t>2,000-customer training sample (to keep computation efficient), identifying the features with the greatest</w:t>
        <w:br/>
        <w:t>overall influence on the model's churn predictions.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780000" cy="35389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5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53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hAnsi="Carlito"/>
          <w:i/>
          <w:color w:val="6B6C66"/>
          <w:sz w:val="18"/>
        </w:rPr>
        <w:t>Figure 11.1 — Global SHAP Feature Importance</w:t>
      </w: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KEY HIGHLIGHTS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Days_Since_Last_Order is the most influential feature, showing that customer recency</w:t>
        <w:br/>
        <w:t>has the strongest overall contribution to the model's predictions. CSAT_Score and Monthly_Orders are the next</w:t>
        <w:br/>
        <w:t>most influential, highlighting the importance of satisfaction and purchasing behaviour. App_Engagement_Hrs and</w:t>
        <w:br/>
        <w:t>Tenure_Months also make substantial contributions, while YoY_Spend_Growth_Pct and Coupons_Redeemed provide</w:t>
        <w:br/>
        <w:t>moderate signal. The engineered Digital_Engagement_Per_Device feature contributes meaningful, measurable</w:t>
        <w:br/>
        <w:t>predictive information. Payment_Mode, Top_Category, Hub_To_Home_KM, Complaint_Last_Month, and</w:t>
        <w:br/>
        <w:t>Avg_Reward_Value_INR have smaller but measurable contributions, while Marital_Status and Primary_Access_Device</w:t>
        <w:br/>
        <w:t xml:space="preserve">rank lowest among the displayed features. These results describe </w:t>
      </w:r>
      <w:r>
        <w:rPr>
          <w:rFonts w:ascii="Carlito" w:hAnsi="Carlito"/>
          <w:b/>
          <w:i w:val="0"/>
          <w:color w:val="262624"/>
          <w:sz w:val="19"/>
        </w:rPr>
        <w:t>model behaviour, not causal relationships</w:t>
      </w:r>
      <w:r>
        <w:rPr>
          <w:rFonts w:ascii="Carlito" w:hAnsi="Carlito"/>
          <w:b w:val="0"/>
          <w:i w:val="0"/>
          <w:color w:val="262624"/>
          <w:sz w:val="19"/>
        </w:rPr>
        <w:t>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46" w:name="_Toc_11_2"/>
      <w:bookmarkEnd w:id="146"/>
      <w:r>
        <w:rPr>
          <w:rFonts w:ascii="Caladea" w:hAnsi="Caladea"/>
          <w:b/>
          <w:color w:val="0E4B43"/>
          <w:sz w:val="26"/>
        </w:rPr>
        <w:t>11.2  Directional Feature Effects (Summary Plot)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SHAP summary plot shows how individual feature values influence churn predictions, capturing both the</w:t>
        <w:br/>
        <w:t>magnitude and the direction of each feature's contribution across the sampled customers.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3931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5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93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hAnsi="Carlito"/>
          <w:i/>
          <w:color w:val="6B6C66"/>
          <w:sz w:val="18"/>
        </w:rPr>
        <w:t>Figure 11.2 — SHAP Summary Plot — Direction and Magnitude of Feature Effects</w:t>
      </w:r>
    </w:p>
    <w:p>
      <w:pPr>
        <w:spacing w:before="160" w:after="80"/>
        <w:ind w:left="85"/>
        <w:shd w:val="clear" w:color="auto" w:fill="FDF4E3"/>
        <w:pBdr>
          <w:left w:val="single" w:sz="22" w:space="10" w:color="C4881F"/>
        </w:pBdr>
      </w:pPr>
      <w:r>
        <w:rPr>
          <w:rFonts w:ascii="Carlito" w:hAnsi="Carlito"/>
          <w:b/>
          <w:color w:val="8A5C14"/>
          <w:sz w:val="17"/>
        </w:rPr>
        <w:t>KEY INSIGHTS</w:t>
      </w:r>
      <w:r>
        <w:br/>
      </w:r>
      <w:r>
        <w:rPr>
          <w:rFonts w:ascii="Carlito" w:hAnsi="Carlito"/>
          <w:b w:val="0"/>
          <w:i w:val="0"/>
          <w:color w:val="262624"/>
          <w:sz w:val="19"/>
        </w:rPr>
        <w:t>Customer recency is the strongest directional signal: higher Days_Since_Last_Order</w:t>
        <w:br/>
        <w:t>values generally push predictions toward higher churn risk. Customer satisfaction matters strongly: lower</w:t>
        <w:br/>
        <w:t>CSAT_Score values tend to increase predicted churn risk, while higher scores reduce it. Purchasing behaviour is</w:t>
        <w:br/>
        <w:t>important: lower Monthly_Orders values push predictions toward churn, while higher order frequency reduces it.</w:t>
        <w:br/>
        <w:t>Digital engagement shows a clear pattern, with lower App_Engagement_Hrs values contributing toward higher churn</w:t>
        <w:br/>
        <w:t>predictions, and shorter Tenure_Months similarly pushes predictions toward higher risk. Lower YoY_Spend_Growth_Pct</w:t>
        <w:br/>
        <w:t>values, recent complaints, and lower reward values also push predictions toward higher churn risk. Payment_Mode,</w:t>
        <w:br/>
        <w:t>Top_Category, Marital_Status, and Primary_Access_Device show comparatively lower and more varied influence.</w:t>
        <w:br/>
        <w:t xml:space="preserve">These patterns represent </w:t>
      </w:r>
      <w:r>
        <w:rPr>
          <w:rFonts w:ascii="Carlito" w:hAnsi="Carlito"/>
          <w:b/>
          <w:i w:val="0"/>
          <w:color w:val="262624"/>
          <w:sz w:val="19"/>
        </w:rPr>
        <w:t>model behaviour, not causal relationships</w:t>
      </w:r>
      <w:r>
        <w:rPr>
          <w:rFonts w:ascii="Carlito" w:hAnsi="Carlito"/>
          <w:b w:val="0"/>
          <w:i w:val="0"/>
          <w:color w:val="262624"/>
          <w:sz w:val="19"/>
        </w:rPr>
        <w:t>, and should be read as predictive</w:t>
        <w:br/>
        <w:t>associations rather than direct business causation.</w:t>
      </w:r>
    </w:p>
    <w:p>
      <w:bookmarkStart w:id="147" w:name="_Toc_12"/>
      <w:pPr>
        <w:pageBreakBefore/>
        <w:spacing w:after="40"/>
      </w:pPr>
      <w:bookmarkEnd w:id="147"/>
      <w:r>
        <w:rPr>
          <w:rFonts w:ascii="Carlito" w:hAnsi="Carlito"/>
          <w:b/>
          <w:color w:val="C4881F"/>
          <w:sz w:val="21"/>
          <w:spacing w:val="30"/>
        </w:rPr>
        <w:t>SECTION 12</w:t>
      </w:r>
    </w:p>
    <w:p>
      <w:pPr>
        <w:spacing w:after="80"/>
        <w:pBdr>
          <w:bottom w:val="single" w:sz="20" w:space="8" w:color="0E4B43"/>
        </w:pBdr>
        <w:outlineLvl w:val="0"/>
      </w:pPr>
      <w:r>
        <w:rPr>
          <w:rFonts w:ascii="Caladea" w:hAnsi="Caladea"/>
          <w:b/>
          <w:color w:val="0E4B43"/>
          <w:sz w:val="42"/>
        </w:rPr>
        <w:t>Conclusion &amp; Business Recommendations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48" w:name="_Toc_12_1"/>
      <w:bookmarkEnd w:id="148"/>
      <w:r>
        <w:rPr>
          <w:rFonts w:ascii="Caladea" w:hAnsi="Caladea"/>
          <w:b/>
          <w:color w:val="0E4B43"/>
          <w:sz w:val="26"/>
        </w:rPr>
        <w:t>12.1  Summary of Findings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CatBoost achieved the strongest and most consistent baseline performance among all four algorithms tested, leading on ROC-AUC, PR-AUC, F1, and Precision.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Cost-sensitive class weighting more than doubled Recall relative to unweighted baselines across every model, at an expected cost to Precision — the correct trade-off for a churn-screening use case.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Isotonic Regression calibration reduced the Brier Score from 0.12 to 0.08 on held-out out-of-fold predictions, materially improving the reliability of the churn probability output.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A precision-constrained operating threshold of 0.30 delivers a Recall of 0.67 and Precision of 0.62 on the untouched test set, correctly identifying 1,187 of 1,775 churned customers.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Days_Since_Last_Order, CSAT_Score, Monthly_Orders, and App_Engagement_Hrs are the strongest predictors of churn, confirmed independently by both the correlation analysis and SHAP-based explainability.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Newer customers (0–6 months' tenure) churn at 35.5%, versus 2.5% for customers with 60+ months' tenure — identifying early tenure as the highest-risk lifecycle stage.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49" w:name="_Toc_12_2"/>
      <w:bookmarkEnd w:id="149"/>
      <w:r>
        <w:rPr>
          <w:rFonts w:ascii="Caladea" w:hAnsi="Caladea"/>
          <w:b/>
          <w:color w:val="0E4B43"/>
          <w:sz w:val="26"/>
        </w:rPr>
        <w:t>12.2  Final Recommendation</w:t>
      </w:r>
    </w:p>
    <w:p>
      <w:pPr>
        <w:spacing w:after="120" w:before="0"/>
        <w:jc w:val="left"/>
      </w:pPr>
      <w:r>
        <w:rPr>
          <w:rFonts w:ascii="Carlito" w:hAnsi="Carlito"/>
          <w:b w:val="0"/>
          <w:i w:val="0"/>
          <w:color w:val="262624"/>
          <w:sz w:val="21"/>
        </w:rPr>
        <w:t>The tuned, class-weighted, and Isotonic-calibrated CatBoost model is recommended as the deployment</w:t>
        <w:br/>
        <w:t>candidate for this churn-screening task, combining solid held-out test performance (ROC-AUC 0.90, PR-AUC 0.71,</w:t>
        <w:br/>
        <w:t>Balanced Accuracy 0.79, Macro F1 0.78) with calibrated probabilities and full SHAP-based interpretability — a</w:t>
        <w:br/>
        <w:t>combination essential for a model intended to inform customer-retention decisions and resource allocation.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50" w:name="_Toc_12_3"/>
      <w:bookmarkEnd w:id="150"/>
      <w:r>
        <w:rPr>
          <w:rFonts w:ascii="Caladea" w:hAnsi="Caladea"/>
          <w:b/>
          <w:color w:val="0E4B43"/>
          <w:sz w:val="26"/>
        </w:rPr>
        <w:t>12.3  Business Impact &amp; Deployment Considerations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 xml:space="preserve">Position the model as a </w:t>
      </w:r>
      <w:r>
        <w:rPr>
          <w:rFonts w:ascii="Carlito" w:hAnsi="Carlito"/>
          <w:b/>
          <w:i w:val="0"/>
          <w:color w:val="262624"/>
          <w:sz w:val="20"/>
        </w:rPr>
        <w:t>retention-prioritisation aid</w:t>
      </w:r>
      <w:r>
        <w:rPr>
          <w:rFonts w:ascii="Carlito" w:hAnsi="Carlito"/>
          <w:b w:val="0"/>
          <w:i w:val="0"/>
          <w:color w:val="262624"/>
          <w:sz w:val="20"/>
        </w:rPr>
        <w:t>, ranking customers by calibrated churn probability rather than issuing an unqualified automated action.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 xml:space="preserve">Prioritise outreach toward customers in the </w:t>
      </w:r>
      <w:r>
        <w:rPr>
          <w:rFonts w:ascii="Carlito" w:hAnsi="Carlito"/>
          <w:b/>
          <w:i w:val="0"/>
          <w:color w:val="262624"/>
          <w:sz w:val="20"/>
        </w:rPr>
        <w:t>0–12 month tenure band</w:t>
      </w:r>
      <w:r>
        <w:rPr>
          <w:rFonts w:ascii="Carlito" w:hAnsi="Carlito"/>
          <w:b w:val="0"/>
          <w:i w:val="0"/>
          <w:color w:val="262624"/>
          <w:sz w:val="20"/>
        </w:rPr>
        <w:t>, given their substantially elevated observed and predicted churn risk.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 xml:space="preserve">Monitor customers on </w:t>
      </w:r>
      <w:r>
        <w:rPr>
          <w:rFonts w:ascii="Carlito" w:hAnsi="Carlito"/>
          <w:b/>
          <w:i w:val="0"/>
          <w:color w:val="262624"/>
          <w:sz w:val="20"/>
        </w:rPr>
        <w:t>Card on Delivery (POS)</w:t>
      </w:r>
      <w:r>
        <w:rPr>
          <w:rFonts w:ascii="Carlito" w:hAnsi="Carlito"/>
          <w:b w:val="0"/>
          <w:i w:val="0"/>
          <w:color w:val="262624"/>
          <w:sz w:val="20"/>
        </w:rPr>
        <w:t xml:space="preserve"> and </w:t>
      </w:r>
      <w:r>
        <w:rPr>
          <w:rFonts w:ascii="Carlito" w:hAnsi="Carlito"/>
          <w:b/>
          <w:i w:val="0"/>
          <w:color w:val="262624"/>
          <w:sz w:val="20"/>
        </w:rPr>
        <w:t>Cash on Delivery</w:t>
      </w:r>
      <w:r>
        <w:rPr>
          <w:rFonts w:ascii="Carlito" w:hAnsi="Carlito"/>
          <w:b w:val="0"/>
          <w:i w:val="0"/>
          <w:color w:val="262624"/>
          <w:sz w:val="20"/>
        </w:rPr>
        <w:t xml:space="preserve"> payment modes, and those with declining </w:t>
      </w:r>
      <w:r>
        <w:rPr>
          <w:rFonts w:ascii="Carlito" w:hAnsi="Carlito"/>
          <w:b/>
          <w:i w:val="0"/>
          <w:color w:val="262624"/>
          <w:sz w:val="20"/>
        </w:rPr>
        <w:t>App_Engagement_Hrs</w:t>
      </w:r>
      <w:r>
        <w:rPr>
          <w:rFonts w:ascii="Carlito" w:hAnsi="Carlito"/>
          <w:b w:val="0"/>
          <w:i w:val="0"/>
          <w:color w:val="262624"/>
          <w:sz w:val="20"/>
        </w:rPr>
        <w:t xml:space="preserve"> or rising </w:t>
      </w:r>
      <w:r>
        <w:rPr>
          <w:rFonts w:ascii="Carlito" w:hAnsi="Carlito"/>
          <w:b/>
          <w:i w:val="0"/>
          <w:color w:val="262624"/>
          <w:sz w:val="20"/>
        </w:rPr>
        <w:t>Days_Since_Last_Order</w:t>
      </w:r>
      <w:r>
        <w:rPr>
          <w:rFonts w:ascii="Carlito" w:hAnsi="Carlito"/>
          <w:b w:val="0"/>
          <w:i w:val="0"/>
          <w:color w:val="262624"/>
          <w:sz w:val="20"/>
        </w:rPr>
        <w:t>, as leading indicators worth proactive engagement.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Use the SHAP-based explanations to give retention teams a transparent, feature-level rationale alongside every flagged customer, not just a probability score.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Re-calibrate and re-threshold the model periodically as customer behaviour and channel mix evolve, since both were selected on a specific historical training distribution.</w:t>
      </w:r>
    </w:p>
    <w:p>
      <w:pPr>
        <w:spacing w:before="320" w:after="120"/>
        <w:pBdr>
          <w:left w:val="single" w:sz="24" w:space="8" w:color="C4881F"/>
        </w:pBdr>
        <w:outlineLvl w:val="1"/>
        <w:ind w:left="170"/>
      </w:pPr>
      <w:bookmarkStart w:id="151" w:name="_Toc_12_4"/>
      <w:bookmarkEnd w:id="151"/>
      <w:r>
        <w:rPr>
          <w:rFonts w:ascii="Caladea" w:hAnsi="Caladea"/>
          <w:b/>
          <w:color w:val="0E4B43"/>
          <w:sz w:val="26"/>
        </w:rPr>
        <w:t>12.4  Skills &amp; Techniques Demonstrated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Data cleaning, validation, and exploratory data analysis (pandas, seaborn, matplotlib).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Imbalanced-classification methodology: stratified splitting and cost-sensitive class weighting, benchmarked empirically against an unweighted baseline.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Feature engineering for behavioural e-commerce data: digital engagement per device and a normalised coupon-redemption rate.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 xml:space="preserve">Leakage-safe pipeline design using scikit-learn's </w:t>
      </w:r>
      <w:r>
        <w:rPr>
          <w:rFonts w:ascii="Liberation Mono" w:hAnsi="Liberation Mono"/>
          <w:i w:val="0"/>
          <w:color w:val="0B3A34"/>
          <w:sz w:val="19"/>
          <w:shd w:val="clear" w:color="auto" w:fill="F0F2F1"/>
        </w:rPr>
        <w:t>ColumnTransformer</w:t>
      </w:r>
      <w:r>
        <w:rPr>
          <w:rFonts w:ascii="Carlito" w:hAnsi="Carlito"/>
          <w:b w:val="0"/>
          <w:i w:val="0"/>
          <w:color w:val="262624"/>
          <w:sz w:val="20"/>
        </w:rPr>
        <w:t xml:space="preserve"> and </w:t>
      </w:r>
      <w:r>
        <w:rPr>
          <w:rFonts w:ascii="Liberation Mono" w:hAnsi="Liberation Mono"/>
          <w:i w:val="0"/>
          <w:color w:val="0B3A34"/>
          <w:sz w:val="19"/>
          <w:shd w:val="clear" w:color="auto" w:fill="F0F2F1"/>
        </w:rPr>
        <w:t>Pipeline</w:t>
      </w:r>
      <w:r>
        <w:rPr>
          <w:rFonts w:ascii="Carlito" w:hAnsi="Carlito"/>
          <w:b w:val="0"/>
          <w:i w:val="0"/>
          <w:color w:val="262624"/>
          <w:sz w:val="20"/>
        </w:rPr>
        <w:t>, with all learned parameters refit inside every cross-validation fold.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Model development across a linear baseline (Logistic Regression) and three gradient-boosted tree families (XGBoost, LightGBM, CatBoost), including CatBoost's native categorical-feature handling.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Hyperparameter optimisation via randomized search with Stratified K-Fold cross-validation, selected on PR-AUC for an imbalanced target.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Out-of-fold probability calibration (Isotonic Regression) and precision-constrained operating-threshold selection, both derived exclusively from training-side data.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 xml:space="preserve">Explainable AI (XAI) using SHAP </w:t>
      </w:r>
      <w:r>
        <w:rPr>
          <w:rFonts w:ascii="Liberation Mono" w:hAnsi="Liberation Mono"/>
          <w:i w:val="0"/>
          <w:color w:val="0B3A34"/>
          <w:sz w:val="19"/>
          <w:shd w:val="clear" w:color="auto" w:fill="F0F2F1"/>
        </w:rPr>
        <w:t>TreeExplainer</w:t>
      </w:r>
      <w:r>
        <w:rPr>
          <w:rFonts w:ascii="Carlito" w:hAnsi="Carlito"/>
          <w:b w:val="0"/>
          <w:i w:val="0"/>
          <w:color w:val="262624"/>
          <w:sz w:val="20"/>
        </w:rPr>
        <w:t xml:space="preserve"> — global feature importance and directional summary analysis.</w:t>
      </w:r>
    </w:p>
    <w:p>
      <w:pPr>
        <w:pStyle w:val="ListBullet"/>
        <w:spacing w:after="80"/>
        <w:ind w:left="340"/>
      </w:pPr>
      <w:r>
        <w:rPr>
          <w:rFonts w:ascii="Carlito" w:hAnsi="Carlito"/>
          <w:b w:val="0"/>
          <w:i w:val="0"/>
          <w:color w:val="262624"/>
          <w:sz w:val="20"/>
        </w:rPr>
        <w:t>Clear, structured technical communication — translating model internals into business-relevant conclusions for non-technical stakeholders.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191" w:bottom="1304" w:left="1191" w:header="595" w:footer="59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2"/>
          <w:tcBorders>
            <w:top w:val="single" w:sz="8" w:space="4" w:color="0E4B43"/>
          </w:tcBorders>
        </w:tcPr>
        <w:p>
          <w:r>
            <w:rPr>
              <w:rFonts w:ascii="Carlito" w:hAnsi="Carlito"/>
              <w:color w:val="6B6C66"/>
              <w:sz w:val="15"/>
            </w:rPr>
            <w:t>Rushikesh Khamgaonkar</w:t>
          </w:r>
        </w:p>
      </w:tc>
      <w:tc>
        <w:tcPr>
          <w:tcW w:type="dxa" w:w="2721"/>
          <w:tcBorders>
            <w:top w:val="single" w:sz="8" w:space="4" w:color="0E4B43"/>
          </w:tcBorders>
        </w:tcPr>
        <w:p>
          <w:pPr>
            <w:jc w:val="center"/>
          </w:pPr>
          <w:r>
            <w:rPr>
              <w:rFonts w:ascii="Carlito" w:hAnsi="Carlito"/>
              <w:b/>
              <w:color w:val="0E4B43"/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3</w:t>
            <w:fldChar w:fldCharType="end"/>
          </w:r>
          <w:r>
            <w:rPr>
              <w:rFonts w:ascii="Carlito" w:hAnsi="Carlito"/>
              <w:b/>
              <w:color w:val="0E4B43"/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separate"/>
            <w:t>34</w:t>
            <w:fldChar w:fldCharType="end"/>
          </w:r>
        </w:p>
      </w:tc>
      <w:tc>
        <w:tcPr>
          <w:tcW w:type="dxa" w:w="3402"/>
          <w:tcBorders>
            <w:top w:val="single" w:sz="8" w:space="4" w:color="0E4B43"/>
          </w:tcBorders>
        </w:tcPr>
        <w:p>
          <w:pPr>
            <w:jc w:val="right"/>
          </w:pPr>
          <w:r>
            <w:rPr>
              <w:rFonts w:ascii="Carlito" w:hAnsi="Carlito"/>
              <w:color w:val="6B6C66"/>
              <w:sz w:val="15"/>
            </w:rPr>
            <w:t>E-Commerce Customer Churn Dataset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6520"/>
          <w:tcBorders>
            <w:bottom w:val="single" w:sz="10" w:space="4" w:color="0E4B43"/>
          </w:tcBorders>
        </w:tcPr>
        <w:p>
          <w:r>
            <w:rPr>
              <w:rFonts w:ascii="Carlito" w:hAnsi="Carlito"/>
              <w:b/>
              <w:color w:val="0E4B43"/>
              <w:sz w:val="16"/>
            </w:rPr>
            <w:t>E-COMMERCE CUSTOMER CHURN PREDICTION</w:t>
          </w:r>
        </w:p>
      </w:tc>
      <w:tc>
        <w:tcPr>
          <w:tcW w:type="dxa" w:w="3005"/>
          <w:tcBorders>
            <w:bottom w:val="single" w:sz="10" w:space="4" w:color="0E4B43"/>
          </w:tcBorders>
        </w:tcPr>
        <w:p>
          <w:pPr>
            <w:jc w:val="right"/>
          </w:pPr>
          <w:r>
            <w:rPr>
              <w:rFonts w:ascii="Carlito" w:hAnsi="Carlito"/>
              <w:i/>
              <w:color w:val="6B6C66"/>
              <w:sz w:val="16"/>
            </w:rPr>
            <w:t>Project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rlito" w:hAnsi="Carlito" w:cs="Carlito"/>
      <w:color w:val="2626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