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Sovereign AI Workbench — Architecture Decision Records</w:t>
      </w:r>
    </w:p>
    <w:p>
      <w:r>
        <w:t>Source of truth: PRD v2 (Final Implementation-Ready) + TRD v1.1 (Final — Implementation-Ready). This ADR explains *why* the decisions already fixed in the TRD were made. It does not introduce, remove, or redesign any TRD decision. Where the PRD/TRD is silent on alternatives considered, this is labeled [Architectural reasoning — not an existing project record].</w:t>
      </w:r>
    </w:p>
    <w:p>
      <w:r>
        <w:t>Status legend: Accepted (all 15 decisions below are Accepted — they are already implemented as TRD requirements, not open proposals).</w:t>
      </w:r>
    </w:p>
    <w:p>
      <w:pPr>
        <w:pStyle w:val="Heading1"/>
      </w:pPr>
      <w:r>
        <w:t>ADR-001 — Local-First Sovereign Architecture</w:t>
      </w:r>
    </w:p>
    <w:p>
      <w:pPr>
        <w:pStyle w:val="ListBullet"/>
      </w:pPr>
      <w:r>
        <w:t>Status: Accepted</w:t>
      </w:r>
    </w:p>
    <w:p>
      <w:pPr>
        <w:pStyle w:val="ListBullet"/>
      </w:pPr>
      <w:r>
        <w:t>Context: Target users (refinery/PSU engineers, compliance officers, internal IT) handle confidential material — P&amp;IDs, financials, unreleased designs — that company policy keeps on-premises (PRD §2, §3).</w:t>
      </w:r>
    </w:p>
    <w:p>
      <w:pPr>
        <w:pStyle w:val="ListBullet"/>
      </w:pPr>
      <w:r>
        <w:t>Problem: Employees currently either lose productivity working manually, or paste confidential material into public cloud AI tools, creating policy/security risk (PRD §2).</w:t>
      </w:r>
    </w:p>
    <w:p>
      <w:pPr>
        <w:pStyle w:val="ListBullet"/>
      </w:pPr>
      <w:r>
        <w:t>Decision: Every inference, embedding, OCR, and vector-search operation executes on local hardware; no code path calls an external AI/API endpoint (TRD §3 Architecture Principles).</w:t>
      </w:r>
    </w:p>
    <w:p>
      <w:pPr>
        <w:pStyle w:val="ListBullet"/>
      </w:pPr>
      <w:r>
        <w:t>Why this decision: It is the only design that satisfies the PRD's core value proposition — Claude/Codex-like productivity without data leaving the security boundary (PRD §3 Vision).</w:t>
      </w:r>
    </w:p>
    <w:p>
      <w:pPr>
        <w:pStyle w:val="ListBullet"/>
      </w:pPr>
      <w:r>
        <w:t>Alternatives considered: [Architectural reasoning] A hybrid model (local for sensitive steps, cloud for general reasoning) was not adopted because any cloud call reintroduces the exact policy risk the product exists to remove, and the PRD's Non-Goals explicitly exclude cloud deployment/paid APIs (PRD §6).</w:t>
      </w:r>
    </w:p>
    <w:p>
      <w:pPr>
        <w:pStyle w:val="ListBullet"/>
      </w:pPr>
      <w:r>
        <w:t>Why alternatives were rejected: A single cloud call anywhere in the pipeline breaks the "zero external network dependency" goal (PRD §5) and invalidates the Sovereignty Proof (PRD §8 cross-cutting requirement) for the entire session, not just that call.</w:t>
      </w:r>
    </w:p>
    <w:p>
      <w:pPr>
        <w:pStyle w:val="ListBullet"/>
      </w:pPr>
      <w:r>
        <w:t>Consequences: All model capability is bounded by what fits on venue-equivalent hardware (TRD §28); the system must be hardware-aware by default (ADR-014).</w:t>
      </w:r>
    </w:p>
    <w:p>
      <w:pPr>
        <w:pStyle w:val="ListBullet"/>
      </w:pPr>
      <w:r>
        <w:t>Security implications: Removes the largest data-exfiltration surface (outbound AI API calls) entirely, rather than relying on policy or user discipline.</w:t>
      </w:r>
    </w:p>
    <w:p>
      <w:pPr>
        <w:pStyle w:val="ListBullet"/>
      </w:pPr>
      <w:r>
        <w:t>Hackathon/demo implications: Enables the strongest possible proof — physical air-gap demonstration (ADR-013) — because no component has a code path depending on internet reachability (TRD §24.4).</w:t>
      </w:r>
    </w:p>
    <w:p>
      <w:pPr>
        <w:pStyle w:val="Heading1"/>
      </w:pPr>
      <w:r>
        <w:t>ADR-002 — Ollama as Local Model Runtime</w:t>
      </w:r>
    </w:p>
    <w:p>
      <w:pPr>
        <w:pStyle w:val="ListBullet"/>
      </w:pPr>
      <w:r>
        <w:t>Status: Accepted</w:t>
      </w:r>
    </w:p>
    <w:p>
      <w:pPr>
        <w:pStyle w:val="ListBullet"/>
      </w:pPr>
      <w:r>
        <w:t>Context: The system needs a local serving layer for general, coding, and vision-language open-weight models (PRD §17 Technology Stack).</w:t>
      </w:r>
    </w:p>
    <w:p>
      <w:pPr>
        <w:pStyle w:val="ListBullet"/>
      </w:pPr>
      <w:r>
        <w:t>Problem: Running quantized open-weight models locally requires model management (pull, load, unload, generate) without hand-rolling inference infrastructure.</w:t>
      </w:r>
    </w:p>
    <w:p>
      <w:pPr>
        <w:pStyle w:val="ListBullet"/>
      </w:pPr>
      <w:r>
        <w:t>Decision: Ollama is the serving backend for all three model roles, accessed via an `OllamaAdapter` (TRD Component #7) talking to `localhost:11434`.</w:t>
      </w:r>
    </w:p>
    <w:p>
      <w:pPr>
        <w:pStyle w:val="ListBullet"/>
      </w:pPr>
      <w:r>
        <w:t>Why this decision: Ollama natively supports quantized GGUF-style models, exposes a simple local HTTP API, and supports `keep_alive=0` unload semantics needed for sequential load/unload under constrained VRAM (TRD §15.1).</w:t>
      </w:r>
    </w:p>
    <w:p>
      <w:pPr>
        <w:pStyle w:val="ListBullet"/>
      </w:pPr>
      <w:r>
        <w:t>Alternatives considered: [Architectural reasoning] Direct `llama.cpp`/`vLLM` embedding into the FastAPI process. Not adopted in the PRD/TRD.</w:t>
      </w:r>
    </w:p>
    <w:p>
      <w:pPr>
        <w:pStyle w:val="ListBullet"/>
      </w:pPr>
      <w:r>
        <w:t>Why alternatives were rejected: Not discussed in PRD/TRD as a rejected alternative — Ollama is the TRD-fixed choice; embedding an inference engine directly would add operational surface area not required by any PRD requirement.</w:t>
      </w:r>
    </w:p>
    <w:p>
      <w:pPr>
        <w:pStyle w:val="ListBullet"/>
      </w:pPr>
      <w:r>
        <w:t>Consequences: All model additions become a `configs/models.yaml` entry plus an Ollama pull — no code change (PRD Req. #2; TRD §13).</w:t>
      </w:r>
    </w:p>
    <w:p>
      <w:pPr>
        <w:pStyle w:val="ListBullet"/>
      </w:pPr>
      <w:r>
        <w:t>Security implications: Ollama's HTTP endpoint is bound to localhost only; the Sovereignty Monitor classifies `localhost:11434` traffic as `local` (TRD §24.1).</w:t>
      </w:r>
    </w:p>
    <w:p>
      <w:pPr>
        <w:pStyle w:val="ListBullet"/>
      </w:pPr>
      <w:r>
        <w:t>Hackathon/demo implications: `GET /api/tags` gives a cheap availability probe (cached 10s, TRD §15.1) used both by `/api/models` and pre-demo checklist verification (TRD §33.1).</w:t>
      </w:r>
    </w:p>
    <w:p>
      <w:pPr>
        <w:pStyle w:val="Heading1"/>
      </w:pPr>
      <w:r>
        <w:t>ADR-003 — Configuration-Driven Model Registry</w:t>
      </w:r>
    </w:p>
    <w:p>
      <w:pPr>
        <w:pStyle w:val="ListBullet"/>
      </w:pPr>
      <w:r>
        <w:t>Status: Accepted</w:t>
      </w:r>
    </w:p>
    <w:p>
      <w:pPr>
        <w:pStyle w:val="ListBullet"/>
      </w:pPr>
      <w:r>
        <w:t>Context: PRD Req. #1 and #2 require automatic task-based routing and the ability to add new open-weight models without code redesign.</w:t>
      </w:r>
    </w:p>
    <w:p>
      <w:pPr>
        <w:pStyle w:val="ListBullet"/>
      </w:pPr>
      <w:r>
        <w:t>Problem: Hardcoded if/else model selection would require a code change and redeploy for every new model, and could not be audited by a judge as genuinely declarative.</w:t>
      </w:r>
    </w:p>
    <w:p>
      <w:pPr>
        <w:pStyle w:val="ListBullet"/>
      </w:pPr>
      <w:r>
        <w:t>Decision: `configs/models.yaml` is the single source of truth for model identity, role, capabilities, modalities, context length, VRAM requirement, and serving backend, loaded once at startup by `ModelRegistry` (TRD §13, Component #5).</w:t>
      </w:r>
    </w:p>
    <w:p>
      <w:pPr>
        <w:pStyle w:val="ListBullet"/>
      </w:pPr>
      <w:r>
        <w:t>Why this decision: Directly satisfies PRD Req. #2 verbatim — "New open-weight models addable via configuration, without code redesign."</w:t>
      </w:r>
    </w:p>
    <w:p>
      <w:pPr>
        <w:pStyle w:val="ListBullet"/>
      </w:pPr>
      <w:r>
        <w:t>Alternatives considered: [Architectural reasoning] Database-backed registry (e.g., a `models` table as primary source). Not adopted.</w:t>
      </w:r>
    </w:p>
    <w:p>
      <w:pPr>
        <w:pStyle w:val="ListBullet"/>
      </w:pPr>
      <w:r>
        <w:t>Why alternatives were rejected: A DB-backed registry would require an admin UI or migration tooling to edit — YAML edited by a developer/AI coding agent satisfies the same requirement with far less infrastructure, consistent with the hackathon-scope constraint (TRD §29.1 explicit exclusions).</w:t>
      </w:r>
    </w:p>
    <w:p>
      <w:pPr>
        <w:pStyle w:val="ListBullet"/>
      </w:pPr>
      <w:r>
        <w:t>Consequences: `model_registry_meta` (TRD §10.6) exists only as a *runtime availability cache* over the YAML source, never a second source of truth.</w:t>
      </w:r>
    </w:p>
    <w:p>
      <w:pPr>
        <w:pStyle w:val="ListBullet"/>
      </w:pPr>
      <w:r>
        <w:t>Security implications: No dynamic code execution from configuration — YAML is parsed into typed `Model[]` objects only (Component #5 output).</w:t>
      </w:r>
    </w:p>
    <w:p>
      <w:pPr>
        <w:pStyle w:val="ListBullet"/>
      </w:pPr>
      <w:r>
        <w:t>Hackathon/demo implications: Demo Scene 6 (Model Auto-Routing) and the traceability matrix's demo evidence for Req. #2 ("Add a model in demo, restart, appears in Routing page," TRD §31) both depend on this decision being literally true on stage.</w:t>
      </w:r>
    </w:p>
    <w:p>
      <w:pPr>
        <w:pStyle w:val="Heading1"/>
      </w:pPr>
      <w:r>
        <w:t>ADR-004 — Capability-Based Model Router</w:t>
      </w:r>
    </w:p>
    <w:p>
      <w:pPr>
        <w:pStyle w:val="ListBullet"/>
      </w:pPr>
      <w:r>
        <w:t>Status: Accepted</w:t>
      </w:r>
    </w:p>
    <w:p>
      <w:pPr>
        <w:pStyle w:val="ListBullet"/>
      </w:pPr>
      <w:r>
        <w:t>Context: PRD Req. #1 requires automatic task-based routing (general/coding/vision) based on a configuration-driven registry, not hardcoded logic.</w:t>
      </w:r>
    </w:p>
    <w:p>
      <w:pPr>
        <w:pStyle w:val="ListBullet"/>
      </w:pPr>
      <w:r>
        <w:t>Problem: The agent's Model Selection node (TRD §11.3) needs a deterministic way to turn a `TaskRequirement` into a concrete `model_id` without branching per task type in Python.</w:t>
      </w:r>
    </w:p>
    <w:p>
      <w:pPr>
        <w:pStyle w:val="ListBullet"/>
      </w:pPr>
      <w:r>
        <w:t>Decision: `ModelRouter.select()` filters the registry by `enabled`, `modality`, and capability subset-match, then scores survivors by `(role != preferred_role, context_length)` (TRD §14). The `TaskRequirement → preferred_role` mapping itself lives declaratively in `configs/app.yaml` (TRD §14.1), not in Python branches.</w:t>
      </w:r>
    </w:p>
    <w:p>
      <w:pPr>
        <w:pStyle w:val="ListBullet"/>
      </w:pPr>
      <w:r>
        <w:t>Why this decision: Adding a fourth task type becomes a configuration change (new mapping entry + registry entry), not a new `if` branch — the TRD is explicit that this satisfies "adding a fourth task type is a configuration change... not a new branch" (TRD §14.1).</w:t>
      </w:r>
    </w:p>
    <w:p>
      <w:pPr>
        <w:pStyle w:val="ListBullet"/>
      </w:pPr>
      <w:r>
        <w:t>Alternatives considered: [Architectural reasoning] An LLM-based "router model" that chooses the model by prompting. Not adopted.</w:t>
      </w:r>
    </w:p>
    <w:p>
      <w:pPr>
        <w:pStyle w:val="ListBullet"/>
      </w:pPr>
      <w:r>
        <w:t>Why alternatives were rejected: Not discussed in PRD/TRD; a prompted router would be non-deterministic and harder to unit test than pure capability-set matching, conflicting with TRD §3's Testability principle (dependency-injected core, no live model needed for router unit tests, TRD §27.1).</w:t>
      </w:r>
    </w:p>
    <w:p>
      <w:pPr>
        <w:pStyle w:val="ListBullet"/>
      </w:pPr>
      <w:r>
        <w:t>Consequences: Router unavailability of all candidates triggers the fallback chain (TRD §15.2) rather than an exception surfaced to the user directly.</w:t>
      </w:r>
    </w:p>
    <w:p>
      <w:pPr>
        <w:pStyle w:val="ListBullet"/>
      </w:pPr>
      <w:r>
        <w:t>Security implications: None beyond ADR-001 — router never contacts anything outside the local registry/adapter.</w:t>
      </w:r>
    </w:p>
    <w:p>
      <w:pPr>
        <w:pStyle w:val="ListBullet"/>
      </w:pPr>
      <w:r>
        <w:t>Hackathon/demo implications: Demo Scene 6 and PRD Success Metric #4 ("Model Router visibly selects different models for at least two task categories on request," PRD §19) are direct, literal tests of this component.</w:t>
      </w:r>
    </w:p>
    <w:p>
      <w:pPr>
        <w:pStyle w:val="Heading1"/>
      </w:pPr>
      <w:r>
        <w:t>ADR-005 — LangGraph for Bounded Agent Orchestration</w:t>
      </w:r>
    </w:p>
    <w:p>
      <w:pPr>
        <w:pStyle w:val="ListBullet"/>
      </w:pPr>
      <w:r>
        <w:t>Status: Accepted</w:t>
      </w:r>
    </w:p>
    <w:p>
      <w:pPr>
        <w:pStyle w:val="ListBullet"/>
      </w:pPr>
      <w:r>
        <w:t>Context: PRD Req. #3 requires "genuine multi-step agentic task completion — plan, act, observe, validate, iterate," but explicitly as a bounded loop, not an open-ended autonomous agent (PRD §10).</w:t>
      </w:r>
    </w:p>
    <w:p>
      <w:pPr>
        <w:pStyle w:val="ListBullet"/>
      </w:pPr>
      <w:r>
        <w:t>Problem: A free-running agent loop is both a demo reliability risk (unbounded iteration on stage) and a scope-creep risk relative to the hackathon's "no unnecessary agents/production infra" constraint.</w:t>
      </w:r>
    </w:p>
    <w:p>
      <w:pPr>
        <w:pStyle w:val="ListBullet"/>
      </w:pPr>
      <w:r>
        <w:t>Decision: LangGraph implements a fixed 7-node state graph — Task Understanding → Planning → Model Selection → Tool Selection → Execution → Observation → Validation → (loop to Planning or) Final Deliverable — shared by all three hero flows; `task_type` changes tools/prompts per node, not the graph shape (TRD §11.1).</w:t>
      </w:r>
    </w:p>
    <w:p>
      <w:pPr>
        <w:pStyle w:val="ListBullet"/>
      </w:pPr>
      <w:r>
        <w:t>Why this decision: LangGraph natively expresses conditional edges with a hard iteration cap (`max_iterations` per task\_type, TRD §11.4), matching the "bounded, stateful loop... not an open-ended autonomous loop" architecture principle (TRD §3, §11).</w:t>
      </w:r>
    </w:p>
    <w:p>
      <w:pPr>
        <w:pStyle w:val="ListBullet"/>
      </w:pPr>
      <w:r>
        <w:t>Alternatives considered: [Architectural reasoning] A hand-rolled while-loop with manual state passing. Not adopted.</w:t>
      </w:r>
    </w:p>
    <w:p>
      <w:pPr>
        <w:pStyle w:val="ListBullet"/>
      </w:pPr>
      <w:r>
        <w:t>Why alternatives were rejected: Not discussed in PRD/TRD as a rejected option; LangGraph gives typed state (`AgentState`, TRD §11.2), synchronous event logging per transition (TRD §11.4), and reproducible trace *shape* (TRD §3 Reproducibility principle) with less custom code.</w:t>
      </w:r>
    </w:p>
    <w:p>
      <w:pPr>
        <w:pStyle w:val="ListBullet"/>
      </w:pPr>
      <w:r>
        <w:t>Consequences: `max_iterations` is fixed in `configs/app.yaml` (document=4, coding=6, vision=3) and never overridden at runtime by the agent itself (TRD §11.4) — this is a hard constraint, not a tunable the agent can escape.</w:t>
      </w:r>
    </w:p>
    <w:p>
      <w:pPr>
        <w:pStyle w:val="ListBullet"/>
      </w:pPr>
      <w:r>
        <w:t>Security implications: Tool Selection strictly filters to the toolset permitted for `task_type` before Execution — an undeclared tool call is rejected before reaching the Tool Registry (TRD §11.4), bounding the agent's blast radius.</w:t>
      </w:r>
    </w:p>
    <w:p>
      <w:pPr>
        <w:pStyle w:val="ListBullet"/>
      </w:pPr>
      <w:r>
        <w:t>Hackathon/demo implications: Agent Activity trace (frontend route `/agent-activity/:taskId`) is populated directly from this graph's synchronous event emission (TRD §7.2 AgentTraceStream), which is what judges see live.</w:t>
      </w:r>
    </w:p>
    <w:p>
      <w:pPr>
        <w:pStyle w:val="Heading1"/>
      </w:pPr>
      <w:r>
        <w:t>ADR-006 — Local RAG with ChromaDB</w:t>
      </w:r>
    </w:p>
    <w:p>
      <w:pPr>
        <w:pStyle w:val="ListBullet"/>
      </w:pPr>
      <w:r>
        <w:t>Status: Accepted</w:t>
      </w:r>
    </w:p>
    <w:p>
      <w:pPr>
        <w:pStyle w:val="ListBullet"/>
      </w:pPr>
      <w:r>
        <w:t>Context: PRD Req. #7 requires local RAG over synthetic SOPs/manuals with citation of source sections in every grounded answer.</w:t>
      </w:r>
    </w:p>
    <w:p>
      <w:pPr>
        <w:pStyle w:val="ListBullet"/>
      </w:pPr>
      <w:r>
        <w:t>Problem: Findings extracted from an inspection report must be checked against organizational knowledge (Safety SOP, Maintenance Manual, etc.) without any embedding call leaving the machine.</w:t>
      </w:r>
    </w:p>
    <w:p>
      <w:pPr>
        <w:pStyle w:val="ListBullet"/>
      </w:pPr>
      <w:r>
        <w:t>Decision: Ingestion pipeline (parse → clean → chunk 800 tokens/120 overlap → embed via BGE-small/base sentence-transformers → upsert to ChromaDB) and retrieval pipeline (embed query → cosine top-5 → threshold 0.55 → context assembly) are both fully local (TRD §16.1–16.3).</w:t>
      </w:r>
    </w:p>
    <w:p>
      <w:pPr>
        <w:pStyle w:val="ListBullet"/>
      </w:pPr>
      <w:r>
        <w:t>Why this decision: ChromaDB's persistent local client requires no server process (TRD §29.1), and sentence-transformers BGE models run entirely offline — together they satisfy PRD Req. #7 with zero embedding-API dependency.</w:t>
      </w:r>
    </w:p>
    <w:p>
      <w:pPr>
        <w:pStyle w:val="ListBullet"/>
      </w:pPr>
      <w:r>
        <w:t>Alternatives considered: [Architectural reasoning] Cloud embedding APIs (e.g., hosted embedding endpoints) for higher retrieval quality. Not adopted — explicitly excluded by PRD Non-Goals (cloud deployment, paid APIs, PRD §6) and TRD Architecture Principles (§3).</w:t>
      </w:r>
    </w:p>
    <w:p>
      <w:pPr>
        <w:pStyle w:val="ListBullet"/>
      </w:pPr>
      <w:r>
        <w:t>Why alternatives were rejected: Any cloud embedding call is itself a sovereignty violation per the E2E sovereignty test's `external_embedding_calls == 0` assertion (TRD §27.3).</w:t>
      </w:r>
    </w:p>
    <w:p>
      <w:pPr>
        <w:pStyle w:val="ListBullet"/>
      </w:pPr>
      <w:r>
        <w:t>Consequences: Retrieval quality is bounded by BGE-small/base and the 0.55 similarity threshold tuned empirically on the synthetic corpus (TRD §16.3) — below-threshold chunks are dropped rather than shown as false citations.</w:t>
      </w:r>
    </w:p>
    <w:p>
      <w:pPr>
        <w:pStyle w:val="ListBullet"/>
      </w:pPr>
      <w:r>
        <w:t>Security implications: Knowledge base content is synthetic-only by PRD Non-Goal (§6) and TRD §16.4 — never real MRPL confidential data, even in the demo.</w:t>
      </w:r>
    </w:p>
    <w:p>
      <w:pPr>
        <w:pStyle w:val="ListBullet"/>
      </w:pPr>
      <w:r>
        <w:t>Hackathon/demo implications: Citation format `{document_title} - {section} (p.{page})` (TRD §16.3) feeds directly into the Approval Note's evidence-reference field (TRD §25) and the CitationList UI component (TRD §7.2).</w:t>
      </w:r>
    </w:p>
    <w:p>
      <w:pPr>
        <w:pStyle w:val="Heading1"/>
      </w:pPr>
      <w:r>
        <w:t>ADR-007 — Local OCR + Vision Architecture</w:t>
      </w:r>
    </w:p>
    <w:p>
      <w:pPr>
        <w:pStyle w:val="ListBullet"/>
      </w:pPr>
      <w:r>
        <w:t>Status: Accepted</w:t>
      </w:r>
    </w:p>
    <w:p>
      <w:pPr>
        <w:pStyle w:val="ListBullet"/>
      </w:pPr>
      <w:r>
        <w:t>Context: PRD Req. #5 and #6 require OCR and vision-model understanding to be "clearly separated," each with explicit observation/interpretation/uncertainty labeling for vision.</w:t>
      </w:r>
    </w:p>
    <w:p>
      <w:pPr>
        <w:pStyle w:val="ListBullet"/>
      </w:pPr>
      <w:r>
        <w:t>Problem: Conflating pixel-to-text extraction with image *understanding* would make failure diagnosis ambiguous and risks the vision model silently "reading" text it should instead have OCR'd, or vice versa.</w:t>
      </w:r>
    </w:p>
    <w:p>
      <w:pPr>
        <w:pStyle w:val="ListBullet"/>
      </w:pPr>
      <w:r>
        <w:t>Decision: OCR (PaddleOCR, local weights) is a strict pixels-to-text step producing `{text, confidence}` and never invokes any LLM; Vision (local VLM via Ollama) is a separate `VisionService.analyze()` call producing `{observation[], interpretation[], uncertainty[]}` (TRD §17, §18). The two are kept separate in the Model Registry (`role: vision` vs. OCR having no registry entry — it is not an LLM), the Tool Registry (`extract_text_from_scan` vs. no direct vision tool — vision runs as its own service in Flow 3, TRD §21), and UI labeling.</w:t>
      </w:r>
    </w:p>
    <w:p>
      <w:pPr>
        <w:pStyle w:val="ListBullet"/>
      </w:pPr>
      <w:r>
        <w:t>Why this decision: Matches PRD §13 Multimodal Pipeline exactly: "OCR extraction... Vision understanding... LLM reasoning" as three explicitly separate capabilities.</w:t>
      </w:r>
    </w:p>
    <w:p>
      <w:pPr>
        <w:pStyle w:val="ListBullet"/>
      </w:pPr>
      <w:r>
        <w:t>Alternatives considered: [Architectural reasoning] A single VLM handling both scanned-text extraction and photo interpretation. Not adopted.</w:t>
      </w:r>
    </w:p>
    <w:p>
      <w:pPr>
        <w:pStyle w:val="ListBullet"/>
      </w:pPr>
      <w:r>
        <w:t>Why alternatives were rejected: The PRD explicitly requires the boundary to be visible in architecture *and* UI labeling (PRD §13) — collapsing them into one model call would hide which failure mode (OCR miss vs. vision misinterpretation) occurred, undermining the uncertainty-labeling requirement (PRD Req. #6).</w:t>
      </w:r>
    </w:p>
    <w:p>
      <w:pPr>
        <w:pStyle w:val="ListBullet"/>
      </w:pPr>
      <w:r>
        <w:t>Consequences: Two independently-testable pipelines (TRD §27.2: "OCR → RAG" and Flow 3 e2e test are separate); OCR failures (low confidence) are flagged, not silently trusted (TRD §17.1).</w:t>
      </w:r>
    </w:p>
    <w:p>
      <w:pPr>
        <w:pStyle w:val="ListBullet"/>
      </w:pPr>
      <w:r>
        <w:t>Security implications: None beyond ADR-001; both run local model weights only.</w:t>
      </w:r>
    </w:p>
    <w:p>
      <w:pPr>
        <w:pStyle w:val="ListBullet"/>
      </w:pPr>
      <w:r>
        <w:t>Hackathon/demo implications: Flow 3's UI shows three distinct labeled sections — Observation, Interpretation, Uncertainty (TRD §33.4) — and the system never states a certified inspection verdict anywhere (PRD §6 Non-Goal; TRD §18 hard constraint).</w:t>
      </w:r>
    </w:p>
    <w:p>
      <w:pPr>
        <w:pStyle w:val="Heading1"/>
      </w:pPr>
      <w:r>
        <w:t>ADR-008 — Docker Sandbox for Code Execution</w:t>
      </w:r>
    </w:p>
    <w:p>
      <w:pPr>
        <w:pStyle w:val="ListBullet"/>
      </w:pPr>
      <w:r>
        <w:t>Status: Accepted</w:t>
      </w:r>
    </w:p>
    <w:p>
      <w:pPr>
        <w:pStyle w:val="ListBullet"/>
      </w:pPr>
      <w:r>
        <w:t>Context: PRD Req. #4 and §15 require code execution with explicit permission boundaries and never on the host.</w:t>
      </w:r>
    </w:p>
    <w:p>
      <w:pPr>
        <w:pStyle w:val="ListBullet"/>
      </w:pPr>
      <w:r>
        <w:t>Problem: The coding agent (Flow 2) must run agent-generated code and tests safely, including code that may fail, hang, or attempt unwanted filesystem/network access, live on a demo stage.</w:t>
      </w:r>
    </w:p>
    <w:p>
      <w:pPr>
        <w:pStyle w:val="ListBullet"/>
      </w:pPr>
      <w:r>
        <w:t>Decision: All `execute_code`/`run_tests` calls run inside a purpose-built Docker image with `--network none`, `--cpus=1`, `--memory=512m`, a bind-mounted per-task workspace only (`/data/sandbox/{task_id}`), a wrapper-enforced timeout independent of in-container logic, and `--rm` cleanup on every run (TRD §20.1, §23).</w:t>
      </w:r>
    </w:p>
    <w:p>
      <w:pPr>
        <w:pStyle w:val="ListBullet"/>
      </w:pPr>
      <w:r>
        <w:t>Why this decision: This is the only mechanism in the TRD that satisfies "never executed directly on the host under any code path, including error-recovery paths" (TRD §23 hard constraint) while still allowing genuine self-correction (PRD Req. #10).</w:t>
      </w:r>
    </w:p>
    <w:p>
      <w:pPr>
        <w:pStyle w:val="ListBullet"/>
      </w:pPr>
      <w:r>
        <w:t>Alternatives considered: [Architectural reasoning] `subprocess` with OS-level `ulimit`/`chroot` restrictions on the host. Not adopted.</w:t>
      </w:r>
    </w:p>
    <w:p>
      <w:pPr>
        <w:pStyle w:val="ListBullet"/>
      </w:pPr>
      <w:r>
        <w:t>Why alternatives were rejected: Not discussed in PRD/TRD; host-level sandboxing does not provide the same network-isolation guarantee as `--network none` and is explicitly excluded by the "never executed directly on the host" hard constraint (TRD §23).</w:t>
      </w:r>
    </w:p>
    <w:p>
      <w:pPr>
        <w:pStyle w:val="ListBullet"/>
      </w:pPr>
      <w:r>
        <w:t>Consequences: If Docker is unavailable, `execute_code`/`run_tests` return a `ServiceUnavailable`/503-equivalent `ToolError` rather than falling back to host execution — this is a hard, non-negotiable failure path (TRD §23, §26).</w:t>
      </w:r>
    </w:p>
    <w:p>
      <w:pPr>
        <w:pStyle w:val="ListBullet"/>
      </w:pPr>
      <w:r>
        <w:t>Security implications: No network egress from generated code is possible even if the code is adversarial or buggy; filesystem access is bounded to a single per-task directory with the image filesystem read-only elsewhere.</w:t>
      </w:r>
    </w:p>
    <w:p>
      <w:pPr>
        <w:pStyle w:val="ListBullet"/>
      </w:pPr>
      <w:r>
        <w:t>Hackathon/demo implications: Flow 2's self-correction (injected failure → real test output → code fix → re-run) is the PRD's most reliability-sensitive scene, hence the heaviest rehearsal emphasis and a pre-recorded fallback clip (PRD §20 Risks; TRD §33.5).</w:t>
      </w:r>
    </w:p>
    <w:p>
      <w:pPr>
        <w:pStyle w:val="Heading1"/>
      </w:pPr>
      <w:r>
        <w:t>ADR-009 — SQLite for Application State</w:t>
      </w:r>
    </w:p>
    <w:p>
      <w:pPr>
        <w:pStyle w:val="ListBullet"/>
      </w:pPr>
      <w:r>
        <w:t>Status: Accepted</w:t>
      </w:r>
    </w:p>
    <w:p>
      <w:pPr>
        <w:pStyle w:val="ListBullet"/>
      </w:pPr>
      <w:r>
        <w:t>Context: The system needs durable storage for tasks, events, files, knowledge documents, artifacts, model availability, and sovereignty events (TRD §10, seven tables).</w:t>
      </w:r>
    </w:p>
    <w:p>
      <w:pPr>
        <w:pStyle w:val="ListBullet"/>
      </w:pPr>
      <w:r>
        <w:t>Problem: A hackathon-scale single-workstation deployment needs simple, dependency-light persistence without operating a separate database server.</w:t>
      </w:r>
    </w:p>
    <w:p>
      <w:pPr>
        <w:pStyle w:val="ListBullet"/>
      </w:pPr>
      <w:r>
        <w:t>Decision: SQLite (via SQLAlchemy Core/ORM, WAL mode enabled) is the sole datastore for all seven entities (TRD §10.1–10.7).</w:t>
      </w:r>
    </w:p>
    <w:p>
      <w:pPr>
        <w:pStyle w:val="ListBullet"/>
      </w:pPr>
      <w:r>
        <w:t>Why this decision: Matches the TRD's explicit exclusion list — Redis, PostgreSQL are excluded "unless a specific requirement proves otherwise" (PRD §17), and no requirement in this system needs more than a single-file embedded database at this scale.</w:t>
      </w:r>
    </w:p>
    <w:p>
      <w:pPr>
        <w:pStyle w:val="ListBullet"/>
      </w:pPr>
      <w:r>
        <w:t>Alternatives considered: [Architectural reasoning] PostgreSQL for stronger concurrent-write guarantees. Not adopted.</w:t>
      </w:r>
    </w:p>
    <w:p>
      <w:pPr>
        <w:pStyle w:val="ListBullet"/>
      </w:pPr>
      <w:r>
        <w:t>Why alternatives were rejected: WAL mode gives sufficient concurrent read/write for a single-user demo session (TRD §10 intro); PostgreSQL would require a server process, violating the "no unnecessary databases" hackathon constraint.</w:t>
      </w:r>
    </w:p>
    <w:p>
      <w:pPr>
        <w:pStyle w:val="ListBullet"/>
      </w:pPr>
      <w:r>
        <w:t>Consequences: Lock contention under WAL mode is handled by retry-with-backoff (TRD Component #19 failure mode) rather than by scaling the database tier.</w:t>
      </w:r>
    </w:p>
    <w:p>
      <w:pPr>
        <w:pStyle w:val="ListBullet"/>
      </w:pPr>
      <w:r>
        <w:t>Security implications: `data/` (including `app.db`) is entirely gitignored (TRD §6) so no persisted state — including any accidentally-uploaded content — is committed to source control.</w:t>
      </w:r>
    </w:p>
    <w:p>
      <w:pPr>
        <w:pStyle w:val="ListBullet"/>
      </w:pPr>
      <w:r>
        <w:t>Hackathon/demo implications: `sovereignty_events` indexed on `ts` directly powers the live `/api/sovereignty/status` rolling counters shown in Demo Scene 7 (TRD §10.8).</w:t>
      </w:r>
    </w:p>
    <w:p>
      <w:pPr>
        <w:pStyle w:val="Heading1"/>
      </w:pPr>
      <w:r>
        <w:t>ADR-010 — FastAPI Backend Architecture</w:t>
      </w:r>
    </w:p>
    <w:p>
      <w:pPr>
        <w:pStyle w:val="ListBullet"/>
      </w:pPr>
      <w:r>
        <w:t>Status: Accepted</w:t>
      </w:r>
    </w:p>
    <w:p>
      <w:pPr>
        <w:pStyle w:val="ListBullet"/>
      </w:pPr>
      <w:r>
        <w:t>Context: The system needs a single backend process exposing REST + SSE endpoints to the frontend and internally orchestrating the agent, RAG, tools, and sovereignty monitor.</w:t>
      </w:r>
    </w:p>
    <w:p>
      <w:pPr>
        <w:pStyle w:val="ListBullet"/>
      </w:pPr>
      <w:r>
        <w:t>Problem: Multiple candidate Python web frameworks exist; the TRD needs one with native async support for SSE streaming of agent events and strict request/response typing for an AI-coding-agent-compatible contract (TRD §35).</w:t>
      </w:r>
    </w:p>
    <w:p>
      <w:pPr>
        <w:pStyle w:val="ListBullet"/>
      </w:pPr>
      <w:r>
        <w:t>Decision: FastAPI with Pydantic models for every request/response schema, structured in one-way layering: API routers → Application Services → Domain/Agent Logic → Infrastructure (TRD §8.1). Routers never import infrastructure directly; services never import FastAPI types.</w:t>
      </w:r>
    </w:p>
    <w:p>
      <w:pPr>
        <w:pStyle w:val="ListBullet"/>
      </w:pPr>
      <w:r>
        <w:t>Why this decision: FastAPI's native `async` + SSE support directly implements `GET /api/tasks/{task_id}/events` (TRD §9), and Pydantic gives the concrete, unambiguous request/response schemas required for AI-coding-agent compatibility (TRD §35).</w:t>
      </w:r>
    </w:p>
    <w:p>
      <w:pPr>
        <w:pStyle w:val="ListBullet"/>
      </w:pPr>
      <w:r>
        <w:t>Alternatives considered: [Architectural reasoning] Flask or Django. Not adopted in the PRD/TRD (PRD §17 fixes FastAPI + Pydantic directly).</w:t>
      </w:r>
    </w:p>
    <w:p>
      <w:pPr>
        <w:pStyle w:val="ListBullet"/>
      </w:pPr>
      <w:r>
        <w:t>Why alternatives were rejected: Not discussed as rejected alternatives in the source documents; FastAPI is the TRD-fixed choice (PRD §17 Technology Stack).</w:t>
      </w:r>
    </w:p>
    <w:p>
      <w:pPr>
        <w:pStyle w:val="ListBullet"/>
      </w:pPr>
      <w:r>
        <w:t>Consequences: All modules run in a single FastAPI process — no microservices are introduced; Docker is used only for the code-execution sandbox, never to split the application itself (TRD §8.2).</w:t>
      </w:r>
    </w:p>
    <w:p>
      <w:pPr>
        <w:pStyle w:val="ListBullet"/>
      </w:pPr>
      <w:r>
        <w:t>Security implications: The acyclic, one-way dependency graph (API → Services → Domain → Infrastructure) keeps every layer independently unit-testable without live Ollama/Docker/ChromaDB (TRD §3 Testability; §8.1).</w:t>
      </w:r>
    </w:p>
    <w:p>
      <w:pPr>
        <w:pStyle w:val="ListBullet"/>
      </w:pPr>
      <w:r>
        <w:t>Hackathon/demo implications: If the frontend fails during the demo, the backend is fully narratable via `curl`/Postman against the same REST/SSE endpoints (TRD §33.5 "UI fails" fallback).</w:t>
      </w:r>
    </w:p>
    <w:p>
      <w:pPr>
        <w:pStyle w:val="Heading1"/>
      </w:pPr>
      <w:r>
        <w:t>ADR-011 — React/Vite Frontend</w:t>
      </w:r>
    </w:p>
    <w:p>
      <w:pPr>
        <w:pStyle w:val="ListBullet"/>
      </w:pPr>
      <w:r>
        <w:t>Status: Accepted</w:t>
      </w:r>
    </w:p>
    <w:p>
      <w:pPr>
        <w:pStyle w:val="ListBullet"/>
      </w:pPr>
      <w:r>
        <w:t>Context: PRD §18 requires a UI that "should feel like a serious enterprise AI workbench, not a chatbot clone," covering eight core areas (Workspace, Chat/Task, Documents, Knowledge Base, Agent Activity, Generated Artifacts, Model/Task Routing, Sovereignty Monitor).</w:t>
      </w:r>
    </w:p>
    <w:p>
      <w:pPr>
        <w:pStyle w:val="ListBullet"/>
      </w:pPr>
      <w:r>
        <w:t>Problem: The frontend must render a live, concise execution trace via SSE, artifact previews, and a polling Sovereignty Monitor, without becoming a second source of truth for agent state.</w:t>
      </w:r>
    </w:p>
    <w:p>
      <w:pPr>
        <w:pStyle w:val="ListBullet"/>
      </w:pPr>
      <w:r>
        <w:t>Decision: React + Vite + TypeScript + Tailwind + shadcn/ui (PRD §17), with a single lightweight `zustand` store as a cache — server is always the source of truth, never mutated optimistically for anything that changes agent state (TRD §7.3).</w:t>
      </w:r>
    </w:p>
    <w:p>
      <w:pPr>
        <w:pStyle w:val="ListBullet"/>
      </w:pPr>
      <w:r>
        <w:t>Why this decision: Matches the PRD-fixed technology stack exactly (PRD §17); Vite's fast dev server suits rapid hackathon iteration; a typed API client (`frontend/src/api/client.ts`) mirrors the backend schema 1:1 so frontend/backend do not silently drift (TRD §7.4).</w:t>
      </w:r>
    </w:p>
    <w:p>
      <w:pPr>
        <w:pStyle w:val="ListBullet"/>
      </w:pPr>
      <w:r>
        <w:t>Alternatives considered: [Architectural reasoning] Server-rendered templates (e.g., Jinja) instead of a SPA. Not adopted — the PRD fixes React/Vite directly.</w:t>
      </w:r>
    </w:p>
    <w:p>
      <w:pPr>
        <w:pStyle w:val="ListBullet"/>
      </w:pPr>
      <w:r>
        <w:t>Why alternatives were rejected: Not discussed as a rejected alternative in the source documents.</w:t>
      </w:r>
    </w:p>
    <w:p>
      <w:pPr>
        <w:pStyle w:val="ListBullet"/>
      </w:pPr>
      <w:r>
        <w:t>Consequences: The UI renders only whitelisted concise event types (TRD §7.5 hard constraint) — raw model chain-of-thought or intermediate tokens are never sent to the frontend, satisfying PRD Req. #12.</w:t>
      </w:r>
    </w:p>
    <w:p>
      <w:pPr>
        <w:pStyle w:val="ListBullet"/>
      </w:pPr>
      <w:r>
        <w:t>Security implications: Frontend talks to the backend only over `HTTPS (localhost only)` per the high-level architecture diagram (TRD §4.1) — no third-party script origins beyond the local dev proxy.</w:t>
      </w:r>
    </w:p>
    <w:p>
      <w:pPr>
        <w:pStyle w:val="ListBullet"/>
      </w:pPr>
      <w:r>
        <w:t>Hackathon/demo implications: `SovereigntyPanel` polls `/api/sovereignty/status` every 2s (TRD §7.2), giving a visibly live (not static) counter during Demo Scene 7.</w:t>
      </w:r>
    </w:p>
    <w:p>
      <w:pPr>
        <w:pStyle w:val="Heading1"/>
      </w:pPr>
      <w:r>
        <w:t>ADR-012 — Sovereignty Monitor</w:t>
      </w:r>
    </w:p>
    <w:p>
      <w:r>
        <w:t>Status: Accepted</w:t>
      </w:r>
    </w:p>
    <w:p>
      <w:r>
        <w:t>Context: PRD Req. #9 and the cross-cutting Sovereignty Proof requirement (PRD §8) demand a real outbound-connection audit across all flows, not a static counter, because "Sovereignty monitor perceived as fake" is a named PRD risk (PRD §20).</w:t>
      </w:r>
    </w:p>
    <w:p>
      <w:r>
        <w:t>Problem: Any claim of zero-egress operation is worthless to a judge unless it is backed by live, real detection rather than a hardcoded "0" displayed in the UI.</w:t>
      </w:r>
    </w:p>
    <w:p>
      <w:r>
        <w:t>Decision: The Sovereignty Monitor uses an OS-specific process/network monitoring adapter behind a common interface. The Linux reference implementation uses `/proc/net/tcp`, `/proc/net/tcp6`, and `/proc/{pid}/fd`; the Windows development implementation uses a Windows-compatible process/network inspection mechanism. The monitor observes process-level outbound socket/connection activity for the backend and its relevant child processes, classifying every observed connection as `local`, `external`, or `blocked` (TRD §24.1). DNS telemetry and byte attribution are capability-dependent and must never be represented as available when the selected OS adapter cannot reliably provide them. Events persist to `sovereignty_events` and aggregate into live counters plus per-subsystem health flags via `GET /api/sovereignty/status` (TRD §24.2–24.3).</w:t>
      </w:r>
    </w:p>
    <w:p>
      <w:r>
        <w:t>Why this decision: Direct implementation of PRD Req. #9 ("real outbound-connection audit... not a static counter") and the named risk mitigation ("Real outbound-connection logger implementation," PRD §20), while keeping the sovereignty contract cross-platform.</w:t>
      </w:r>
    </w:p>
    <w:p>
      <w:r>
        <w:t>Alternatives considered: [Architectural reasoning] A simulated/mocked counter that always reports zero. Explicitly rejected by the PRD itself, not merely an architectural alternative — PRD Req. #9 requires this to be real.</w:t>
      </w:r>
    </w:p>
    <w:p>
      <w:r>
        <w:t>Why alternatives were rejected: A static or simulated counter cannot be acceptance-tested meaningfully and is named directly in the PRD as a credibility risk (PRD §20).</w:t>
      </w:r>
    </w:p>
    <w:p>
      <w:r>
        <w:t>Consequences: External and blocked connections are both surfaced, never silently merged into "local" (TRD §24.1). Where DNS telemetry or byte attribution is unavailable on the selected OS adapter, the monitor reports the capability as unavailable rather than fabricating zero values.</w:t>
      </w:r>
    </w:p>
    <w:p>
      <w:r>
        <w:t>Security implications: Any genuine external connection attempt turns the monitor "red" immediately and is treated as a demo-stopping event to be surfaced, never suppressed (TRD §26 error table, "Sovereignty violation" row).</w:t>
      </w:r>
    </w:p>
    <w:p>
      <w:r>
        <w:t>Hackathon/demo implications: Directly backs Demo Scene 7 (Sovereignty Proof) and PRD Success Metric #5 (Zero egress); acceptance-tested by asserting `external_ai_calls == 0`, `external_embedding_calls == 0`, `external_ocr_calls == 0`, `successful_external_connections == 0` across a full three-flow run (TRD §27.3, §32.5).</w:t>
      </w:r>
    </w:p>
    <w:p>
      <w:pPr>
        <w:pStyle w:val="Heading1"/>
      </w:pPr>
      <w:r>
        <w:t>ADR-013 — Physical Air-Gap Demonstration</w:t>
      </w:r>
    </w:p>
    <w:p>
      <w:r>
        <w:t>Status: Accepted</w:t>
      </w:r>
    </w:p>
    <w:p>
      <w:r>
        <w:t>Context: PRD §8 and §16 document physical disconnection of the demo machine after models/dependencies are installed as the strongest available credibility proof for sovereignty.</w:t>
      </w:r>
    </w:p>
    <w:p>
      <w:r>
        <w:t>Problem: Even a real, live sovereignty monitor is a software claim a skeptical judge could question; the strongest possible proof removes the network layer entirely.</w:t>
      </w:r>
    </w:p>
    <w:p>
      <w:r>
        <w:t>Decision: Physical air-gapping is the preferred strongest sovereignty demonstration, not an architectural fallback. After all models and dependencies are installed and validated, the demo machine may be physically disconnected from external networking and the complete system run end-to-end. This requires zero code changes because no component has a code path that depends on internet reachability (TRD §24.4), and it is documented as an operational step in the setup sequence and demo runbook (TRD §29.1, §33.1).</w:t>
      </w:r>
    </w:p>
    <w:p>
      <w:r>
        <w:t>Why this decision: It converts a software assertion into a physical fact observable by any judge, directly addressing the "Sovereignty monitor perceived as fake" risk (PRD §20) at its root.</w:t>
      </w:r>
    </w:p>
    <w:p>
      <w:r>
        <w:t>Alternatives considered: [Architectural reasoning] Relying solely on the software Sovereignty Monitor without physical air-gapping. Not adopted as the sole proof mechanism — the PRD explicitly identifies physical disconnection as the strongest credibility measure.</w:t>
      </w:r>
    </w:p>
    <w:p>
      <w:r>
        <w:t>Why alternatives were rejected: A software-only proof, however real, remains something a judge must trust the code to be doing correctly; a physically disconnected network interface requires no such trust.</w:t>
      </w:r>
    </w:p>
    <w:p>
      <w:r>
        <w:t>Consequences: The setup sequence includes an explicit offline-mode step: disable/disconnect the network interface after model/dependency validation, then re-run health checks and rehearse the complete demo air-gapped.</w:t>
      </w:r>
    </w:p>
    <w:p>
      <w:r>
        <w:t>Security implications: None negative — this is a strictly additive credibility measure with no functional downside given ADR-001.</w:t>
      </w:r>
    </w:p>
    <w:p>
      <w:r>
        <w:t>Hackathon/demo implications: Listed explicitly in the pre-demo checklist ("If using air-gapped mode: network interface physically disconnected after the checks above," TRD §33.1) and treated as the strongest documented mitigation for the sovereignty-credibility risk.</w:t>
      </w:r>
    </w:p>
    <w:p>
      <w:pPr>
        <w:pStyle w:val="Heading1"/>
      </w:pPr>
      <w:r>
        <w:t>ADR-014 — Hardware-Aware Model Fallback</w:t>
      </w:r>
    </w:p>
    <w:p>
      <w:pPr>
        <w:pStyle w:val="ListBullet"/>
      </w:pPr>
      <w:r>
        <w:t>Status: Accepted</w:t>
      </w:r>
    </w:p>
    <w:p>
      <w:pPr>
        <w:pStyle w:val="ListBullet"/>
      </w:pPr>
      <w:r>
        <w:t>Context: PRD Req. #11 and the named PRD risk "Demo GPU can't hold all models loaded simultaneously" (PRD §20) require the system to run reliably on venue-equivalent hardware, not just a best-case GPU.</w:t>
      </w:r>
    </w:p>
    <w:p>
      <w:pPr>
        <w:pStyle w:val="ListBullet"/>
      </w:pPr>
      <w:r>
        <w:t>Problem: Three model roles (general, coding, vision) may not all fit resident in VRAM simultaneously on a typical 8GB-class demo GPU (TRD §28).</w:t>
      </w:r>
    </w:p>
    <w:p>
      <w:pPr>
        <w:pStyle w:val="ListBullet"/>
      </w:pPr>
      <w:r>
        <w:t>Decision: Constrained VRAM is the *default* case, not an edge case (TRD §15 intro). The `OllamaAdapter` performs sequential load/unload (`ensure_loaded()` before each generate call, LRU unload via `keep_alive=0` and one retry) and, if even one full-size model does not fit, `configs/models.yaml` can be switched to a single general-purpose model covering all three roles via role-specific system prompts — a configuration change, not a code change (TRD §15.1).</w:t>
      </w:r>
    </w:p>
    <w:p>
      <w:pPr>
        <w:pStyle w:val="ListBullet"/>
      </w:pPr>
      <w:r>
        <w:t>Why this decision: Directly implements PRD Req. #11 and the PRD's own risk mitigation table entry verbatim ("Hardware-aware router: quantized models, sequential load/unload, single-model fallback covering multiple task types via prompting," PRD §20).</w:t>
      </w:r>
    </w:p>
    <w:p>
      <w:pPr>
        <w:pStyle w:val="ListBullet"/>
      </w:pPr>
      <w:r>
        <w:t>Alternatives considered: [Architectural reasoning] Requiring venue GPUs to be pre-provisioned with enough VRAM to hold all three models simultaneously. Not adopted.</w:t>
      </w:r>
    </w:p>
    <w:p>
      <w:pPr>
        <w:pStyle w:val="ListBullet"/>
      </w:pPr>
      <w:r>
        <w:t>Why alternatives were rejected: This would make the demo dependent on venue hardware guarantees outside the team's control, contradicting the PRD's own goal of being "demonstrably hardware-aware" (PRD §5) rather than best-case-only.</w:t>
      </w:r>
    </w:p>
    <w:p>
      <w:pPr>
        <w:pStyle w:val="ListBullet"/>
      </w:pPr>
      <w:r>
        <w:t>Consequences: Model Router falls back by `context_length` ordering, then to single-model-covers-all-roles mode, when no candidate is available (TRD §15.2 failure table).</w:t>
      </w:r>
    </w:p>
    <w:p>
      <w:pPr>
        <w:pStyle w:val="ListBullet"/>
      </w:pPr>
      <w:r>
        <w:t>Security implications: None.</w:t>
      </w:r>
    </w:p>
    <w:p>
      <w:pPr>
        <w:pStyle w:val="ListBullet"/>
      </w:pPr>
      <w:r>
        <w:t>Hackathon/demo implications: Traceability matrix demo evidence for Req. #11 is explicitly "Single-model fallback demo on constrained VRAM" (TRD §31) — this fallback path is expected to be demonstrated on stage, not merely exist as an untested safety net.</w:t>
      </w:r>
    </w:p>
    <w:p>
      <w:pPr>
        <w:pStyle w:val="Heading1"/>
      </w:pPr>
      <w:r>
        <w:t>ADR-015 — Synthetic/Controlled Demo Data Strategy</w:t>
      </w:r>
    </w:p>
    <w:p>
      <w:pPr>
        <w:pStyle w:val="ListBullet"/>
      </w:pPr>
      <w:r>
        <w:t>Status: Accepted</w:t>
      </w:r>
    </w:p>
    <w:p>
      <w:pPr>
        <w:pStyle w:val="ListBullet"/>
      </w:pPr>
      <w:r>
        <w:t>Context: PRD Non-Goals explicitly exclude "Real confidential company data — synthetic demonstration documents only" (PRD §6), and the knowledge base is scoped to five specific synthetic categories (PRD §12; TRD §16.4).</w:t>
      </w:r>
    </w:p>
    <w:p>
      <w:pPr>
        <w:pStyle w:val="ListBullet"/>
      </w:pPr>
      <w:r>
        <w:t>Problem: A hackathon demo of a confidentiality-focused product must not itself use or risk exposing real MRPL data, and demo reliability requires curated, pre-validated inputs rather than arbitrary user uploads on stage.</w:t>
      </w:r>
    </w:p>
    <w:p>
      <w:pPr>
        <w:pStyle w:val="ListBullet"/>
      </w:pPr>
      <w:r>
        <w:t>Decision: The knowledge base contains only synthetic Safety SOP, Maintenance Manual, Inspection Guidelines, Equipment Standards, and Previous Approval Notes documents (TRD §16.4). Demo inputs are specific, pre-tested files (`knowledge_base/demo_inputs/scanned_inspection_report.pdf`, `inspection_photo.jpg`) chosen for clean OCR/vision quality, with a curated backup copy for Flow 1 (TRD §33.2, §33.5).</w:t>
      </w:r>
    </w:p>
    <w:p>
      <w:pPr>
        <w:pStyle w:val="ListBullet"/>
      </w:pPr>
      <w:r>
        <w:t>Why this decision: Directly satisfies the PRD Non-Goal and reduces live-demo risk from unpredictable OCR/vision quality on arbitrary scans (PRD §20 named risk: "OCR fails on skewed/low-quality scans or handwriting").</w:t>
      </w:r>
    </w:p>
    <w:p>
      <w:pPr>
        <w:pStyle w:val="ListBullet"/>
      </w:pPr>
      <w:r>
        <w:t>Alternatives considered: [Architectural reasoning] Using real (anonymized) MRPL documents for higher demo realism. Not adopted — explicitly excluded by PRD Non-Goals (§6).</w:t>
      </w:r>
    </w:p>
    <w:p>
      <w:pPr>
        <w:pStyle w:val="ListBullet"/>
      </w:pPr>
      <w:r>
        <w:t>Why alternatives were rejected: The PRD is unambiguous that real confidential data is out of scope regardless of anonymization, and pre-tested synthetic inputs directly serve demo reliability (curated OCR-friendly documents + deskew/denoise preprocessing, PRD §20 mitigation).</w:t>
      </w:r>
    </w:p>
    <w:p>
      <w:pPr>
        <w:pStyle w:val="ListBullet"/>
      </w:pPr>
      <w:r>
        <w:t>Consequences: `knowledge_base/` is committed to the repository (not gitignored) specifically so the demo corpus is reproducible across setups (TRD §6 folder rationale).</w:t>
      </w:r>
    </w:p>
    <w:p>
      <w:pPr>
        <w:pStyle w:val="ListBullet"/>
      </w:pPr>
      <w:r>
        <w:t>Security implications: Eliminates any possibility of confidential data exposure during a public hackathon demonstration.</w:t>
      </w:r>
    </w:p>
    <w:p>
      <w:pPr>
        <w:pStyle w:val="ListBullet"/>
      </w:pPr>
      <w:r>
        <w:t>Hackathon/demo implications: Backup document strategy directly maps to the Failure Recovery table's "OCR fails on the demo PDF" row (TRD §33.5).</w:t>
      </w:r>
    </w:p>
    <w:p>
      <w:pPr>
        <w:pStyle w:val="Heading1"/>
      </w:pPr>
      <w:r>
        <w:t>ADR Summary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Decision</w:t>
            </w:r>
          </w:p>
        </w:tc>
        <w:tc>
          <w:tcPr>
            <w:tcW w:type="dxa" w:w="1728"/>
          </w:tcPr>
          <w:p>
            <w:r>
              <w:t>Why</w:t>
            </w:r>
          </w:p>
        </w:tc>
        <w:tc>
          <w:tcPr>
            <w:tcW w:type="dxa" w:w="1728"/>
          </w:tcPr>
          <w:p>
            <w:r>
              <w:t>TRD Section</w:t>
            </w:r>
          </w:p>
        </w:tc>
        <w:tc>
          <w:tcPr>
            <w:tcW w:type="dxa" w:w="1728"/>
          </w:tcPr>
          <w:p>
            <w:r>
              <w:t>Impact</w:t>
            </w:r>
          </w:p>
        </w:tc>
        <w:tc>
          <w:tcPr>
            <w:tcW w:type="dxa" w:w="1728"/>
          </w:tcPr>
          <w:p>
            <w:r>
              <w:t>Locked?</w:t>
            </w:r>
          </w:p>
        </w:tc>
      </w:tr>
      <w:tr>
        <w:tc>
          <w:tcPr>
            <w:tcW w:type="dxa" w:w="1728"/>
          </w:tcPr>
          <w:p>
            <w:r>
              <w:t>Local-First Sovereign Architecture</w:t>
            </w:r>
          </w:p>
        </w:tc>
        <w:tc>
          <w:tcPr>
            <w:tcW w:type="dxa" w:w="1728"/>
          </w:tcPr>
          <w:p>
            <w:r>
              <w:t>No code path may call external AI/embedding/OCR APIs</w:t>
            </w:r>
          </w:p>
        </w:tc>
        <w:tc>
          <w:tcPr>
            <w:tcW w:type="dxa" w:w="1728"/>
          </w:tcPr>
          <w:p>
            <w:r>
              <w:t>§3</w:t>
            </w:r>
          </w:p>
        </w:tc>
        <w:tc>
          <w:tcPr>
            <w:tcW w:type="dxa" w:w="1728"/>
          </w:tcPr>
          <w:p>
            <w:r>
              <w:t>Foundational — governs every other decision</w:t>
            </w:r>
          </w:p>
        </w:tc>
        <w:tc>
          <w:tcPr>
            <w:tcW w:type="dxa" w:w="1728"/>
          </w:tcPr>
          <w:p>
            <w:r>
              <w:t>Yes</w:t>
            </w:r>
          </w:p>
        </w:tc>
      </w:tr>
      <w:tr>
        <w:tc>
          <w:tcPr>
            <w:tcW w:type="dxa" w:w="1728"/>
          </w:tcPr>
          <w:p>
            <w:r>
              <w:t>Ollama as Local Model Runtime</w:t>
            </w:r>
          </w:p>
        </w:tc>
        <w:tc>
          <w:tcPr>
            <w:tcW w:type="dxa" w:w="1728"/>
          </w:tcPr>
          <w:p>
            <w:r>
              <w:t>Simple local serving + load/unload semantics for quantized models</w:t>
            </w:r>
          </w:p>
        </w:tc>
        <w:tc>
          <w:tcPr>
            <w:tcW w:type="dxa" w:w="1728"/>
          </w:tcPr>
          <w:p>
            <w:r>
              <w:t>§13, Component #7</w:t>
            </w:r>
          </w:p>
        </w:tc>
        <w:tc>
          <w:tcPr>
            <w:tcW w:type="dxa" w:w="1728"/>
          </w:tcPr>
          <w:p>
            <w:r>
              <w:t>All model calls go through one adapter</w:t>
            </w:r>
          </w:p>
        </w:tc>
        <w:tc>
          <w:tcPr>
            <w:tcW w:type="dxa" w:w="1728"/>
          </w:tcPr>
          <w:p>
            <w:r>
              <w:t>Yes</w:t>
            </w:r>
          </w:p>
        </w:tc>
      </w:tr>
      <w:tr>
        <w:tc>
          <w:tcPr>
            <w:tcW w:type="dxa" w:w="1728"/>
          </w:tcPr>
          <w:p>
            <w:r>
              <w:t>Configuration-Driven Model Registry</w:t>
            </w:r>
          </w:p>
        </w:tc>
        <w:tc>
          <w:tcPr>
            <w:tcW w:type="dxa" w:w="1728"/>
          </w:tcPr>
          <w:p>
            <w:r>
              <w:t>New models addable without code change (PRD Req. #2)</w:t>
            </w:r>
          </w:p>
        </w:tc>
        <w:tc>
          <w:tcPr>
            <w:tcW w:type="dxa" w:w="1728"/>
          </w:tcPr>
          <w:p>
            <w:r>
              <w:t>§13</w:t>
            </w:r>
          </w:p>
        </w:tc>
        <w:tc>
          <w:tcPr>
            <w:tcW w:type="dxa" w:w="1728"/>
          </w:tcPr>
          <w:p>
            <w:r>
              <w:t>`configs/models.yaml` is sole model source of truth</w:t>
            </w:r>
          </w:p>
        </w:tc>
        <w:tc>
          <w:tcPr>
            <w:tcW w:type="dxa" w:w="1728"/>
          </w:tcPr>
          <w:p>
            <w:r>
              <w:t>Yes</w:t>
            </w:r>
          </w:p>
        </w:tc>
      </w:tr>
      <w:tr>
        <w:tc>
          <w:tcPr>
            <w:tcW w:type="dxa" w:w="1728"/>
          </w:tcPr>
          <w:p>
            <w:r>
              <w:t>Capability-Based Model Router</w:t>
            </w:r>
          </w:p>
        </w:tc>
        <w:tc>
          <w:tcPr>
            <w:tcW w:type="dxa" w:w="1728"/>
          </w:tcPr>
          <w:p>
            <w:r>
              <w:t>Automatic, declarative task routing (PRD Req. #1)</w:t>
            </w:r>
          </w:p>
        </w:tc>
        <w:tc>
          <w:tcPr>
            <w:tcW w:type="dxa" w:w="1728"/>
          </w:tcPr>
          <w:p>
            <w:r>
              <w:t>§14, §14.1</w:t>
            </w:r>
          </w:p>
        </w:tc>
        <w:tc>
          <w:tcPr>
            <w:tcW w:type="dxa" w:w="1728"/>
          </w:tcPr>
          <w:p>
            <w:r>
              <w:t>Router logic is pure capability matching, no branches</w:t>
            </w:r>
          </w:p>
        </w:tc>
        <w:tc>
          <w:tcPr>
            <w:tcW w:type="dxa" w:w="1728"/>
          </w:tcPr>
          <w:p>
            <w:r>
              <w:t>Yes</w:t>
            </w:r>
          </w:p>
        </w:tc>
      </w:tr>
      <w:tr>
        <w:tc>
          <w:tcPr>
            <w:tcW w:type="dxa" w:w="1728"/>
          </w:tcPr>
          <w:p>
            <w:r>
              <w:t>LangGraph Bounded Agent</w:t>
            </w:r>
          </w:p>
        </w:tc>
        <w:tc>
          <w:tcPr>
            <w:tcW w:type="dxa" w:w="1728"/>
          </w:tcPr>
          <w:p>
            <w:r>
              <w:t>Genuine multi-step agentic execution, bounded not open-ended</w:t>
            </w:r>
          </w:p>
        </w:tc>
        <w:tc>
          <w:tcPr>
            <w:tcW w:type="dxa" w:w="1728"/>
          </w:tcPr>
          <w:p>
            <w:r>
              <w:t>§11</w:t>
            </w:r>
          </w:p>
        </w:tc>
        <w:tc>
          <w:tcPr>
            <w:tcW w:type="dxa" w:w="1728"/>
          </w:tcPr>
          <w:p>
            <w:r>
              <w:t>Fixed 7-node graph, hard iteration caps per task\_type</w:t>
            </w:r>
          </w:p>
        </w:tc>
        <w:tc>
          <w:tcPr>
            <w:tcW w:type="dxa" w:w="1728"/>
          </w:tcPr>
          <w:p>
            <w:r>
              <w:t>Yes</w:t>
            </w:r>
          </w:p>
        </w:tc>
      </w:tr>
      <w:tr>
        <w:tc>
          <w:tcPr>
            <w:tcW w:type="dxa" w:w="1728"/>
          </w:tcPr>
          <w:p>
            <w:r>
              <w:t>Local RAG + ChromaDB</w:t>
            </w:r>
          </w:p>
        </w:tc>
        <w:tc>
          <w:tcPr>
            <w:tcW w:type="dxa" w:w="1728"/>
          </w:tcPr>
          <w:p>
            <w:r>
              <w:t>Grounded answers with citations, zero embedding egress</w:t>
            </w:r>
          </w:p>
        </w:tc>
        <w:tc>
          <w:tcPr>
            <w:tcW w:type="dxa" w:w="1728"/>
          </w:tcPr>
          <w:p>
            <w:r>
              <w:t>§16</w:t>
            </w:r>
          </w:p>
        </w:tc>
        <w:tc>
          <w:tcPr>
            <w:tcW w:type="dxa" w:w="1728"/>
          </w:tcPr>
          <w:p>
            <w:r>
              <w:t>Ingestion/retrieval pipeline, 0.55 threshold, top-5</w:t>
            </w:r>
          </w:p>
        </w:tc>
        <w:tc>
          <w:tcPr>
            <w:tcW w:type="dxa" w:w="1728"/>
          </w:tcPr>
          <w:p>
            <w:r>
              <w:t>Yes</w:t>
            </w:r>
          </w:p>
        </w:tc>
      </w:tr>
      <w:tr>
        <w:tc>
          <w:tcPr>
            <w:tcW w:type="dxa" w:w="1728"/>
          </w:tcPr>
          <w:p>
            <w:r>
              <w:t>Local OCR + Vision Separation</w:t>
            </w:r>
          </w:p>
        </w:tc>
        <w:tc>
          <w:tcPr>
            <w:tcW w:type="dxa" w:w="1728"/>
          </w:tcPr>
          <w:p>
            <w:r>
              <w:t>PRD requires OCR and vision kept explicitly distinct</w:t>
            </w:r>
          </w:p>
        </w:tc>
        <w:tc>
          <w:tcPr>
            <w:tcW w:type="dxa" w:w="1728"/>
          </w:tcPr>
          <w:p>
            <w:r>
              <w:t>§17, §18</w:t>
            </w:r>
          </w:p>
        </w:tc>
        <w:tc>
          <w:tcPr>
            <w:tcW w:type="dxa" w:w="1728"/>
          </w:tcPr>
          <w:p>
            <w:r>
              <w:t>Two independently-testable pipelines, distinct UI labels</w:t>
            </w:r>
          </w:p>
        </w:tc>
        <w:tc>
          <w:tcPr>
            <w:tcW w:type="dxa" w:w="1728"/>
          </w:tcPr>
          <w:p>
            <w:r>
              <w:t>Yes</w:t>
            </w:r>
          </w:p>
        </w:tc>
      </w:tr>
      <w:tr>
        <w:tc>
          <w:tcPr>
            <w:tcW w:type="dxa" w:w="1728"/>
          </w:tcPr>
          <w:p>
            <w:r>
              <w:t>Docker Sandbox for Code Execution</w:t>
            </w:r>
          </w:p>
        </w:tc>
        <w:tc>
          <w:tcPr>
            <w:tcW w:type="dxa" w:w="1728"/>
          </w:tcPr>
          <w:p>
            <w:r>
              <w:t>Never execute generated code on host (PRD §15)</w:t>
            </w:r>
          </w:p>
        </w:tc>
        <w:tc>
          <w:tcPr>
            <w:tcW w:type="dxa" w:w="1728"/>
          </w:tcPr>
          <w:p>
            <w:r>
              <w:t>§20.1, §23</w:t>
            </w:r>
          </w:p>
        </w:tc>
        <w:tc>
          <w:tcPr>
            <w:tcW w:type="dxa" w:w="1728"/>
          </w:tcPr>
          <w:p>
            <w:r>
              <w:t>`--network none`, resource limits, no host fallback ever</w:t>
            </w:r>
          </w:p>
        </w:tc>
        <w:tc>
          <w:tcPr>
            <w:tcW w:type="dxa" w:w="1728"/>
          </w:tcPr>
          <w:p>
            <w:r>
              <w:t>Yes</w:t>
            </w:r>
          </w:p>
        </w:tc>
      </w:tr>
      <w:tr>
        <w:tc>
          <w:tcPr>
            <w:tcW w:type="dxa" w:w="1728"/>
          </w:tcPr>
          <w:p>
            <w:r>
              <w:t>SQLite for Application State</w:t>
            </w:r>
          </w:p>
        </w:tc>
        <w:tc>
          <w:tcPr>
            <w:tcW w:type="dxa" w:w="1728"/>
          </w:tcPr>
          <w:p>
            <w:r>
              <w:t>Hackathon-scale persistence without a DB server</w:t>
            </w:r>
          </w:p>
        </w:tc>
        <w:tc>
          <w:tcPr>
            <w:tcW w:type="dxa" w:w="1728"/>
          </w:tcPr>
          <w:p>
            <w:r>
              <w:t>§10</w:t>
            </w:r>
          </w:p>
        </w:tc>
        <w:tc>
          <w:tcPr>
            <w:tcW w:type="dxa" w:w="1728"/>
          </w:tcPr>
          <w:p>
            <w:r>
              <w:t>7 tables, WAL mode, no Postgres/Redis</w:t>
            </w:r>
          </w:p>
        </w:tc>
        <w:tc>
          <w:tcPr>
            <w:tcW w:type="dxa" w:w="1728"/>
          </w:tcPr>
          <w:p>
            <w:r>
              <w:t>Yes</w:t>
            </w:r>
          </w:p>
        </w:tc>
      </w:tr>
      <w:tr>
        <w:tc>
          <w:tcPr>
            <w:tcW w:type="dxa" w:w="1728"/>
          </w:tcPr>
          <w:p>
            <w:r>
              <w:t>FastAPI Backend</w:t>
            </w:r>
          </w:p>
        </w:tc>
        <w:tc>
          <w:tcPr>
            <w:tcW w:type="dxa" w:w="1728"/>
          </w:tcPr>
          <w:p>
            <w:r>
              <w:t>Async + SSE + typed contract for AI-coding-agent compatibility</w:t>
            </w:r>
          </w:p>
        </w:tc>
        <w:tc>
          <w:tcPr>
            <w:tcW w:type="dxa" w:w="1728"/>
          </w:tcPr>
          <w:p>
            <w:r>
              <w:t>§8, §9, §35</w:t>
            </w:r>
          </w:p>
        </w:tc>
        <w:tc>
          <w:tcPr>
            <w:tcW w:type="dxa" w:w="1728"/>
          </w:tcPr>
          <w:p>
            <w:r>
              <w:t>One-way layered architecture, single process</w:t>
            </w:r>
          </w:p>
        </w:tc>
        <w:tc>
          <w:tcPr>
            <w:tcW w:type="dxa" w:w="1728"/>
          </w:tcPr>
          <w:p>
            <w:r>
              <w:t>Yes</w:t>
            </w:r>
          </w:p>
        </w:tc>
      </w:tr>
      <w:tr>
        <w:tc>
          <w:tcPr>
            <w:tcW w:type="dxa" w:w="1728"/>
          </w:tcPr>
          <w:p>
            <w:r>
              <w:t>React/Vite Frontend</w:t>
            </w:r>
          </w:p>
        </w:tc>
        <w:tc>
          <w:tcPr>
            <w:tcW w:type="dxa" w:w="1728"/>
          </w:tcPr>
          <w:p>
            <w:r>
              <w:t>Enterprise-workbench UI across 8 core areas</w:t>
            </w:r>
          </w:p>
        </w:tc>
        <w:tc>
          <w:tcPr>
            <w:tcW w:type="dxa" w:w="1728"/>
          </w:tcPr>
          <w:p>
            <w:r>
              <w:t>§7, PRD §17</w:t>
            </w:r>
          </w:p>
        </w:tc>
        <w:tc>
          <w:tcPr>
            <w:tcW w:type="dxa" w:w="1728"/>
          </w:tcPr>
          <w:p>
            <w:r>
              <w:t>Server is source of truth; whitelisted event rendering</w:t>
            </w:r>
          </w:p>
        </w:tc>
        <w:tc>
          <w:tcPr>
            <w:tcW w:type="dxa" w:w="1728"/>
          </w:tcPr>
          <w:p>
            <w:r>
              <w:t>Yes</w:t>
            </w:r>
          </w:p>
        </w:tc>
      </w:tr>
      <w:tr>
        <w:tc>
          <w:tcPr>
            <w:tcW w:type="dxa" w:w="1728"/>
          </w:tcPr>
          <w:p>
            <w:r>
              <w:t>Sovereignty Monitor</w:t>
            </w:r>
          </w:p>
        </w:tc>
        <w:tc>
          <w:tcPr>
            <w:tcW w:type="dxa" w:w="1728"/>
          </w:tcPr>
          <w:p>
            <w:r>
              <w:t>Real audit, not a static counter (PRD Req. #9)</w:t>
            </w:r>
          </w:p>
        </w:tc>
        <w:tc>
          <w:tcPr>
            <w:tcW w:type="dxa" w:w="1728"/>
          </w:tcPr>
          <w:p>
            <w:r>
              <w:t>§24</w:t>
            </w:r>
          </w:p>
        </w:tc>
        <w:tc>
          <w:tcPr>
            <w:tcW w:type="dxa" w:w="1728"/>
          </w:tcPr>
          <w:p>
            <w:r>
              <w:t>OS-level socket classification, live counters</w:t>
            </w:r>
          </w:p>
        </w:tc>
        <w:tc>
          <w:tcPr>
            <w:tcW w:type="dxa" w:w="1728"/>
          </w:tcPr>
          <w:p>
            <w:r>
              <w:t>Yes</w:t>
            </w:r>
          </w:p>
        </w:tc>
      </w:tr>
      <w:tr>
        <w:tc>
          <w:tcPr>
            <w:tcW w:type="dxa" w:w="1728"/>
          </w:tcPr>
          <w:p>
            <w:r>
              <w:t>Physical Air-Gap Demonstration</w:t>
            </w:r>
          </w:p>
        </w:tc>
        <w:tc>
          <w:tcPr>
            <w:tcW w:type="dxa" w:w="1728"/>
          </w:tcPr>
          <w:p>
            <w:r>
              <w:t>Strongest possible zero-egress proof</w:t>
            </w:r>
          </w:p>
        </w:tc>
        <w:tc>
          <w:tcPr>
            <w:tcW w:type="dxa" w:w="1728"/>
          </w:tcPr>
          <w:p>
            <w:r>
              <w:t>§24.4, §29.1</w:t>
            </w:r>
          </w:p>
        </w:tc>
        <w:tc>
          <w:tcPr>
            <w:tcW w:type="dxa" w:w="1728"/>
          </w:tcPr>
          <w:p>
            <w:r>
              <w:t>Zero code changes required; operational step only</w:t>
            </w:r>
          </w:p>
        </w:tc>
        <w:tc>
          <w:tcPr>
            <w:tcW w:type="dxa" w:w="1728"/>
          </w:tcPr>
          <w:p>
            <w:r>
              <w:t>Yes</w:t>
            </w:r>
          </w:p>
        </w:tc>
      </w:tr>
      <w:tr>
        <w:tc>
          <w:tcPr>
            <w:tcW w:type="dxa" w:w="1728"/>
          </w:tcPr>
          <w:p>
            <w:r>
              <w:t>Hardware-Aware Model Fallback</w:t>
            </w:r>
          </w:p>
        </w:tc>
        <w:tc>
          <w:tcPr>
            <w:tcW w:type="dxa" w:w="1728"/>
          </w:tcPr>
          <w:p>
            <w:r>
              <w:t>Reliable on venue-equivalent, VRAM-constrained hardware</w:t>
            </w:r>
          </w:p>
        </w:tc>
        <w:tc>
          <w:tcPr>
            <w:tcW w:type="dxa" w:w="1728"/>
          </w:tcPr>
          <w:p>
            <w:r>
              <w:t>§15</w:t>
            </w:r>
          </w:p>
        </w:tc>
        <w:tc>
          <w:tcPr>
            <w:tcW w:type="dxa" w:w="1728"/>
          </w:tcPr>
          <w:p>
            <w:r>
              <w:t>Sequential load/unload + single-model fallback mode</w:t>
            </w:r>
          </w:p>
        </w:tc>
        <w:tc>
          <w:tcPr>
            <w:tcW w:type="dxa" w:w="1728"/>
          </w:tcPr>
          <w:p>
            <w:r>
              <w:t>Yes</w:t>
            </w:r>
          </w:p>
        </w:tc>
      </w:tr>
      <w:tr>
        <w:tc>
          <w:tcPr>
            <w:tcW w:type="dxa" w:w="1728"/>
          </w:tcPr>
          <w:p>
            <w:r>
              <w:t>Synthetic/Controlled Demo Data</w:t>
            </w:r>
          </w:p>
        </w:tc>
        <w:tc>
          <w:tcPr>
            <w:tcW w:type="dxa" w:w="1728"/>
          </w:tcPr>
          <w:p>
            <w:r>
              <w:t>No real confidential data; reliable, pre-tested demo inputs</w:t>
            </w:r>
          </w:p>
        </w:tc>
        <w:tc>
          <w:tcPr>
            <w:tcW w:type="dxa" w:w="1728"/>
          </w:tcPr>
          <w:p>
            <w:r>
              <w:t>§16.4, §33.2</w:t>
            </w:r>
          </w:p>
        </w:tc>
        <w:tc>
          <w:tcPr>
            <w:tcW w:type="dxa" w:w="1728"/>
          </w:tcPr>
          <w:p>
            <w:r>
              <w:t>Committed synthetic KB + curated demo input files</w:t>
            </w:r>
          </w:p>
        </w:tc>
        <w:tc>
          <w:tcPr>
            <w:tcW w:type="dxa" w:w="1728"/>
          </w:tcPr>
          <w:p>
            <w:r>
              <w:t>Yes</w:t>
            </w:r>
          </w:p>
        </w:tc>
      </w:tr>
    </w:tbl>
    <w:p/>
    <w:p>
      <w:r>
        <w:t>Internal consistency check performed: Every ADR above traces to an explicit PRD requirement/section or TRD section number; no alternative was invented that contradicts a TRD-fixed decision (e.g., Ollama, FastAPI, React/Vite, SQLite, Docker, ChromaDB, LangGraph are all treated as already-fixed choices, with the ADR explaining rationale rather than re-litigating the choice). No ADR introduces Kubernetes, microservices, cloud inference, Redis, additional databases, fine-tuning, or additional agents. All 15 decisions cross-reference at least one other ADR where a dependency exists (e.g., ADR-013 depends on ADR-001; ADR-004 depends on ADR-003; ADR-014 depends on ADR-002).</w:t>
      </w:r>
    </w:p>
    <w:p>
      <w:r>
        <w:rPr>
          <w:b/>
        </w:rPr>
        <w:t xml:space="preserve">FINAL STATUS: </w:t>
      </w:r>
      <w:r>
        <w:t>ADR v1.1 is corrected and ready to freeze. No PRD/TRD architecture or scope was changed.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