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0"/>
          <w:szCs w:val="40"/>
        </w:rPr>
        <w:t xml:space="preserve">SOVEREIGN AI WORKBENCH</w:t>
      </w:r>
    </w:p>
    <w:p>
      <w:pPr>
        <w:spacing w:after="260"/>
      </w:pPr>
      <w:r>
        <w:rPr>
          <w:i/>
          <w:iCs/>
          <w:color w:val="595959"/>
          <w:sz w:val="22"/>
          <w:szCs w:val="22"/>
        </w:rPr>
        <w:t xml:space="preserve">A local AI execution environment for organizations that cannot send sensitive data to cloud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DD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Problem Statement ID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SIH26117</w:t>
            </w:r>
          </w:p>
        </w:tc>
      </w:tr>
      <w:tr>
        <w:tc>
          <w:tcPr>
            <w:tcW w:type="dxa" w:w="2500"/>
            <w:shd w:fill="DD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Problem Statement Title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Sovereign On-Premise Agentic AI Workbench using Open-Weight Multimodal LLMs for Confidential Industrial Work</w:t>
            </w:r>
          </w:p>
        </w:tc>
      </w:tr>
      <w:tr>
        <w:tc>
          <w:tcPr>
            <w:tcW w:type="dxa" w:w="2500"/>
            <w:shd w:fill="DD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Mangalore Refinery and Petrochemicals Limited (MRPL)</w:t>
            </w:r>
          </w:p>
        </w:tc>
      </w:tr>
      <w:tr>
        <w:tc>
          <w:tcPr>
            <w:tcW w:type="dxa" w:w="2500"/>
            <w:shd w:fill="DD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Theme / Category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Smart Automation / Software</w:t>
            </w:r>
          </w:p>
        </w:tc>
      </w:tr>
      <w:tr>
        <w:tc>
          <w:tcPr>
            <w:tcW w:type="dxa" w:w="2500"/>
            <w:shd w:fill="DD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Sovereign AI Workbench</w:t>
            </w:r>
          </w:p>
        </w:tc>
      </w:tr>
      <w:tr>
        <w:tc>
          <w:tcPr>
            <w:tcW w:type="dxa" w:w="2500"/>
            <w:shd w:fill="DD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Final Implementation-Ready PRD (v2) - Single Source of Truth</w:t>
            </w:r>
          </w:p>
        </w:tc>
      </w:tr>
      <w:tr>
        <w:tc>
          <w:tcPr>
            <w:tcW w:type="dxa" w:w="2500"/>
            <w:shd w:fill="DD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Approved for Internal Hackathon Build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1F4E79"/>
          <w:sz w:val="26"/>
          <w:szCs w:val="26"/>
        </w:rPr>
        <w:t xml:space="preserve">1. Executive Summary</w:t>
      </w:r>
    </w:p>
    <w:p>
      <w:pPr>
        <w:spacing w:after="120"/>
      </w:pPr>
      <w:r>
        <w:rPr>
          <w:sz w:val="21"/>
          <w:szCs w:val="21"/>
        </w:rPr>
        <w:t xml:space="preserve">Sovereign AI Workbench is a self-hosted, air-gapped, agentic AI system built for organizations - refineries, PSUs, defence-linked manufacturers, government offices - that handle confidential data and cannot use cloud AI tools. It combines local open-weight LLMs with automatic task-based routing, genuine multi-step agentic execution, private document-grounded RAG, multimodal (OCR + vision) understanding, and real deliverable generation (DOCX/XLSX/PPTX/code), with zero external network dependency proven live rather than merely claimed. This document is the single source of truth for the internal-hackathon build: three hero flows carry the entire demo, and every requirement below is scoped to make those three flows reliable, not to maximize feature count.</w:t>
      </w:r>
    </w:p>
    <w:p>
      <w:pPr>
        <w:pStyle w:val="Heading1"/>
        <w:spacing w:after="140" w:before="340"/>
      </w:pPr>
      <w:r>
        <w:rPr>
          <w:b/>
          <w:bCs/>
          <w:color w:val="1F4E79"/>
          <w:sz w:val="26"/>
          <w:szCs w:val="26"/>
        </w:rPr>
        <w:t xml:space="preserve">2. Problem</w:t>
      </w:r>
    </w:p>
    <w:p>
      <w:pPr>
        <w:spacing w:after="120"/>
      </w:pPr>
      <w:r>
        <w:rPr>
          <w:sz w:val="21"/>
          <w:szCs w:val="21"/>
        </w:rPr>
        <w:t xml:space="preserve">Refineries, PSUs, defence-linked manufacturing units and government offices generate large volumes of sensitive knowledge work: approval notes, board presentations, engineering calculations, internal tool code, and review of scanned drawings and inspection reports. This involves confidential material - P&amp;IDs, financials, vendor negotiations, unreleased designs, internal correspondence - that company policy keeps on-premises. Today, employees either work manually and lose productivity, or quietly paste confidential material into public cloud AI tools, creating policy and security risk. Open-weight reasoning models have reached a point where a genuinely useful local assistant is realistic, but no deployable system today gives industrial users the Claude/Codex-like experience without sending data off-premises.</w:t>
      </w:r>
    </w:p>
    <w:p>
      <w:pPr>
        <w:pStyle w:val="Heading1"/>
        <w:spacing w:after="140" w:before="340"/>
      </w:pPr>
      <w:r>
        <w:rPr>
          <w:b/>
          <w:bCs/>
          <w:color w:val="1F4E79"/>
          <w:sz w:val="26"/>
          <w:szCs w:val="26"/>
        </w:rPr>
        <w:t xml:space="preserve">3. Vision</w:t>
      </w:r>
    </w:p>
    <w:p>
      <w:pPr>
        <w:spacing w:after="120"/>
      </w:pPr>
      <w:r>
        <w:rPr>
          <w:sz w:val="21"/>
          <w:szCs w:val="21"/>
        </w:rPr>
        <w:t xml:space="preserve">A private, air-gapped, agentic AI workbench that provides Claude/Codex-like productivity for organizations whose confidential data cannot leave their security boundary. It is not a chatbot, not a ChatGPT clone, not a cloud wrapper, and not a generic document Q&amp;A tool. Its differentiation is the combination of local open-weight inference, intelligent model routing, agentic tool execution, private RAG, multimodal understanding, real deliverable generation, and verifiable zero-egress operation - in one workbench.</w:t>
      </w:r>
    </w:p>
    <w:p>
      <w:pPr>
        <w:pStyle w:val="Heading1"/>
        <w:spacing w:after="140" w:before="340"/>
      </w:pPr>
      <w:r>
        <w:rPr>
          <w:b/>
          <w:bCs/>
          <w:color w:val="1F4E79"/>
          <w:sz w:val="26"/>
          <w:szCs w:val="26"/>
        </w:rPr>
        <w:t xml:space="preserve">4. Target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Refinery / PSU engineers reviewing inspection reports and drafting approval notes.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Internal IT / automation teams needing internal tooling and scripts without cloud code assistants.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Compliance and safety officers cross-referencing findings against SOPs and standards.</w:t>
      </w:r>
    </w:p>
    <w:p>
      <w:pPr>
        <w:pStyle w:val="Heading1"/>
        <w:spacing w:after="140" w:before="340"/>
      </w:pPr>
      <w:r>
        <w:rPr>
          <w:b/>
          <w:bCs/>
          <w:color w:val="1F4E79"/>
          <w:sz w:val="26"/>
          <w:szCs w:val="26"/>
        </w:rPr>
        <w:t xml:space="preserve">5.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Deliver genuine multi-step agentic task completion - plan, act, observe, validate, iterate.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Run entirely offline with zero external network dependency, proven via live network audit.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Route across multiple open-weight models automatically, based on task requirements, via a configuration-driven registry - not hardcoded logic.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Handle multimodal input: scanned PDFs, printed and (where feasible) handwritten text, engineering drawings, photographs.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Produce real, usable business deliverables - DOCX, XLSX, PPTX, PDF, working code - not chat replies.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Ground responses in the organization's own SOPs, manuals and correspondence via local RAG, with citations to source sections.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Be demonstrably hardware-aware: run reliably on venue-equivalent hardware, not just a best-case GPU.</w:t>
      </w:r>
    </w:p>
    <w:p>
      <w:pPr>
        <w:pStyle w:val="Heading1"/>
        <w:spacing w:after="140" w:before="340"/>
      </w:pPr>
      <w:r>
        <w:rPr>
          <w:b/>
          <w:bCs/>
          <w:color w:val="1F4E79"/>
          <w:sz w:val="26"/>
          <w:szCs w:val="26"/>
        </w:rPr>
        <w:t xml:space="preserve">6. Non-Goals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User authentication, RBAC, multi-tenancy, or enterprise IAM - not requested by the PS; out of core scope.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Production horizontal scaling, Kubernetes, or multi-GPU orchestration.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Model training or fine-tuning - inference on existing open-weight models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Real confidential company data - synthetic demonstration documents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Cloud deployment, paid APIs, or a mobile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Certified engineering diagnosis - the vision flow reports observations and AI interpretation, never a certified inspection verdict.</w:t>
      </w:r>
    </w:p>
    <w:p>
      <w:pPr>
        <w:pStyle w:val="Heading1"/>
        <w:spacing w:after="140" w:before="340"/>
      </w:pPr>
      <w:r>
        <w:rPr>
          <w:b/>
          <w:bCs/>
          <w:color w:val="1F4E79"/>
          <w:sz w:val="26"/>
          <w:szCs w:val="26"/>
        </w:rPr>
        <w:t xml:space="preserve">7.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360"/>
        <w:gridCol w:w="1500"/>
      </w:tblGrid>
      <w:tr>
        <w:trPr>
          <w:tblHeader/>
        </w:trPr>
        <w:tc>
          <w:tcPr>
            <w:tcW w:type="dxa" w:w="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3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7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Configuration-driven Model Registry with automatic task-based routing (general / coding / vision)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7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New open-weight models addable via configuration, without code redesign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7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Agentic planner (LangGraph): task understanding -&gt; planning -&gt; tool selection -&gt; execution -&gt; observation -&gt; validation -&gt; iteration -&gt; final deliverable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7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Tool layer: file read/write, directory listing, knowledge-base search, OCR, document generation, spreadsheet ops, code execution, test execution -- with explicit permission boundaries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7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OCR pipeline (scanned PDFs, printed text, handwritten notes where feasible) clearly separated from vision-model understanding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7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Local vision-language model analysis of photographs / engineering drawings, with explicit observation vs. interpretation vs. uncertainty labeling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7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Local RAG over synthetic SOPs/manuals/correspondence, with citation of source sections in every grounded answer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7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Real deliverable generation: DOCX, XLSX, PPTX, PDF, source-code files -- each with title, metadata, findings, evidence references, timestamp, AI-generated marking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7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Live sovereignty proof: real outbound-connection audit across all flows, not a static counter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7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Coding agent: generate -&gt; sandboxed execution -&gt; test run -&gt; self-correction on injected failure -&gt; final result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7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Hardware-aware model selection: quantized/small models, sequential load/unload, single-model fallback under VRAM constraints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7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Agent execution trace shown in UI as concise status events (not raw chain-of-thought)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1F4E79"/>
          <w:sz w:val="26"/>
          <w:szCs w:val="26"/>
        </w:rPr>
        <w:t xml:space="preserve">8. Hero Demo Flows</w:t>
      </w:r>
    </w:p>
    <w:p>
      <w:pPr>
        <w:pStyle w:val="Heading2"/>
        <w:spacing w:after="100" w:before="220"/>
      </w:pPr>
      <w:r>
        <w:rPr>
          <w:b/>
          <w:bCs/>
          <w:color w:val="222222"/>
          <w:sz w:val="22"/>
          <w:szCs w:val="22"/>
        </w:rPr>
        <w:t xml:space="preserve">Flow 1 (Primary) - Scanned Inspection Report -&gt; Approval Note</w:t>
      </w:r>
    </w:p>
    <w:p>
      <w:pPr>
        <w:spacing w:after="120"/>
      </w:pPr>
      <w:r>
        <w:rPr>
          <w:sz w:val="21"/>
          <w:szCs w:val="21"/>
        </w:rPr>
        <w:t xml:space="preserve">Input: a scanned inspection report PDF plus synthetic internal SOP/manual documents already indexed in the knowledge 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Upload report -&gt; detect scanned pages -&gt; local OCR extraction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Agent creates a task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Retrieve relevant SOP/manual sections via local RAG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Local LLM compares findings against retrieved requirements; identifies critical findings and compliance gaps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Agent drafts and generates a genuinely usable Approval_Note.docx, citing the SOP sections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UI shows the full agent execution trace and the evidence/sources behind the reasoning</w:t>
      </w:r>
    </w:p>
    <w:p>
      <w:pPr>
        <w:pStyle w:val="Heading2"/>
        <w:spacing w:after="100" w:before="220"/>
      </w:pPr>
      <w:r>
        <w:rPr>
          <w:b/>
          <w:bCs/>
          <w:color w:val="222222"/>
          <w:sz w:val="22"/>
          <w:szCs w:val="22"/>
        </w:rPr>
        <w:t xml:space="preserve">Flow 2 - Coding Agent</w:t>
      </w:r>
    </w:p>
    <w:p>
      <w:pPr>
        <w:spacing w:after="120"/>
      </w:pPr>
      <w:r>
        <w:rPr>
          <w:sz w:val="21"/>
          <w:szCs w:val="21"/>
        </w:rPr>
        <w:t xml:space="preserve">Input: a natural-language coding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Coding-capable model selected by the router; code generated and written to an isolated sandbox workspace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Code executed inside a Docker sandbox with no network access, restricted filesystem, and execution timeout/resource limits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Tests run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One recoverable failure is intentionally included in the demo run; the agent inspects the failure, modifies the code, and re-runs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Final pass/fail result is shown - genuine self-correction, never a scripted fake success</w:t>
      </w:r>
    </w:p>
    <w:p>
      <w:pPr>
        <w:pStyle w:val="Heading2"/>
        <w:spacing w:after="100" w:before="220"/>
      </w:pPr>
      <w:r>
        <w:rPr>
          <w:b/>
          <w:bCs/>
          <w:color w:val="222222"/>
          <w:sz w:val="22"/>
          <w:szCs w:val="22"/>
        </w:rPr>
        <w:t xml:space="preserve">Flow 3 - Multimodal Understanding</w:t>
      </w:r>
    </w:p>
    <w:p>
      <w:pPr>
        <w:spacing w:after="120"/>
      </w:pPr>
      <w:r>
        <w:rPr>
          <w:sz w:val="21"/>
          <w:szCs w:val="21"/>
        </w:rPr>
        <w:t xml:space="preserve">Input: an inspection photograph or engineering drawing.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Local vision-language model analyzes the image and extracts structured findings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Output clearly separates visible observation, AI interpretation, and stated uncertainty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 claim of certified engineering inspection is made anywhere in the UI or output</w:t>
      </w:r>
    </w:p>
    <w:p>
      <w:pPr>
        <w:pStyle w:val="Heading2"/>
        <w:spacing w:after="100" w:before="220"/>
      </w:pPr>
      <w:r>
        <w:rPr>
          <w:b/>
          <w:bCs/>
          <w:color w:val="222222"/>
          <w:sz w:val="22"/>
          <w:szCs w:val="22"/>
        </w:rPr>
        <w:t xml:space="preserve">Cross-Cutting - Sovereignty Proof (mandatory across all three flows)</w:t>
      </w:r>
    </w:p>
    <w:p>
      <w:pPr>
        <w:spacing w:after="120"/>
      </w:pPr>
      <w:r>
        <w:rPr>
          <w:sz w:val="21"/>
          <w:szCs w:val="21"/>
        </w:rPr>
        <w:t xml:space="preserve">The UI continuously displays a live audit, not a static counter: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External AI calls: 0        External embedding calls: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External OCR calls: 0       Data egress: 0 MB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Local inference: OK  Local OCR: OK  Local RAG: OK  Local vision: OK  Local sandbox: OK</w:t>
      </w:r>
    </w:p>
    <w:p>
      <w:pPr>
        <w:spacing w:after="120"/>
      </w:pPr>
      <w:r>
        <w:rPr>
          <w:sz w:val="21"/>
          <w:szCs w:val="21"/>
        </w:rPr>
        <w:t xml:space="preserve">This is implemented as a real outbound-connection/network audit mechanism appropriate to the demo environment. The strongest available proof is documented as a fallback: physically disconnect the demo machine from the internet after all models/dependencies are installed, and run the full demo air-gapped.</w:t>
      </w:r>
    </w:p>
    <w:p>
      <w:pPr>
        <w:pStyle w:val="Heading1"/>
        <w:spacing w:after="140" w:before="340"/>
      </w:pPr>
      <w:r>
        <w:rPr>
          <w:b/>
          <w:bCs/>
          <w:color w:val="1F4E79"/>
          <w:sz w:val="26"/>
          <w:szCs w:val="26"/>
        </w:rPr>
        <w:t xml:space="preserve">9. System Architecture</w:t>
      </w:r>
    </w:p>
    <w:p>
      <w:pPr>
        <w:spacing w:after="120"/>
      </w:pPr>
      <w:r>
        <w:rPr>
          <w:sz w:val="21"/>
          <w:szCs w:val="21"/>
        </w:rPr>
        <w:t xml:space="preserve">USER -&gt; React/Vite UI -&gt; FastAPI backend -&gt; LangGraph Agent Engine -&gt; [Model Router | RAG Engine | Tool Layer] -&gt; Ollama-hosted local models (general / coding / vision) + local ChromaDB vector store + Docker sandbox (no network) + document generators. Every component is confined to the local machine/network; no component makes outbound calls to any cloud AI, embedding, or OCR API.</w:t>
      </w:r>
    </w:p>
    <w:p>
      <w:pPr>
        <w:pStyle w:val="Heading1"/>
        <w:spacing w:after="140" w:before="340"/>
      </w:pPr>
      <w:r>
        <w:rPr>
          <w:b/>
          <w:bCs/>
          <w:color w:val="1F4E79"/>
          <w:sz w:val="26"/>
          <w:szCs w:val="26"/>
        </w:rPr>
        <w:t xml:space="preserve">10. AI / Agent Architecture</w:t>
      </w:r>
    </w:p>
    <w:p>
      <w:pPr>
        <w:spacing w:after="120"/>
      </w:pPr>
      <w:r>
        <w:rPr>
          <w:sz w:val="21"/>
          <w:szCs w:val="21"/>
        </w:rPr>
        <w:t xml:space="preserve">LangGraph orchestrates a bounded, stateful loop - not an uncontrolled autonomous agent: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Task Understanding -&gt; Planning -&gt; Tool Selection -&gt; Execution -&gt; Observation -&gt; Validation -&gt; Iteration -&gt; Final Deliverable</w:t>
      </w:r>
    </w:p>
    <w:p>
      <w:pPr>
        <w:spacing w:after="120"/>
      </w:pPr>
      <w:r>
        <w:rPr>
          <w:sz w:val="21"/>
          <w:szCs w:val="21"/>
        </w:rPr>
        <w:t xml:space="preserve">Every tool call is explicit and permissioned; the agent cannot invoke a tool outside its declared toolset, and every execution step is logged to the UI's execution trace.</w:t>
      </w:r>
    </w:p>
    <w:p>
      <w:pPr>
        <w:pStyle w:val="Heading1"/>
        <w:spacing w:after="140" w:before="340"/>
      </w:pPr>
      <w:r>
        <w:rPr>
          <w:b/>
          <w:bCs/>
          <w:color w:val="1F4E79"/>
          <w:sz w:val="26"/>
          <w:szCs w:val="26"/>
        </w:rPr>
        <w:t xml:space="preserve">11. Model Routing</w:t>
      </w:r>
    </w:p>
    <w:p>
      <w:pPr>
        <w:spacing w:after="120"/>
      </w:pPr>
      <w:r>
        <w:rPr>
          <w:sz w:val="21"/>
          <w:szCs w:val="21"/>
        </w:rPr>
        <w:t xml:space="preserve">A configuration-driven Model Registry replaces hardcoded if/else model selection. Each entry declares model ID, type, capabilities, context length, VRAM requirement, supported modalities, task categories, serving backend, and availability status. Example conceptual configuration: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general:  model: local-general-model   capabilities: [reasoning, document_analysis]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coding:   model: local-coding-model    capabilities: [coding, debugging, testing]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vision:   model: local-vision-model    capabilities: [image_analysis, document_vision]</w:t>
      </w:r>
    </w:p>
    <w:p>
      <w:pPr>
        <w:spacing w:after="120"/>
      </w:pPr>
      <w:r>
        <w:rPr>
          <w:sz w:val="21"/>
          <w:szCs w:val="21"/>
        </w:rPr>
        <w:t xml:space="preserve">The router selects a model based on declared task requirements against this registry. Adding a new open-weight model is a configuration change, not a code change. Routing is also hardware-aware: under constrained VRAM, the router falls back to sequential loading/unloading or a single smaller model covering multiple task categories via prompting, rather than requiring all models loaded simultaneously.</w:t>
      </w:r>
    </w:p>
    <w:p>
      <w:pPr>
        <w:pStyle w:val="Heading1"/>
        <w:spacing w:after="140" w:before="340"/>
      </w:pPr>
      <w:r>
        <w:rPr>
          <w:b/>
          <w:bCs/>
          <w:color w:val="1F4E79"/>
          <w:sz w:val="26"/>
          <w:szCs w:val="26"/>
        </w:rPr>
        <w:t xml:space="preserve">12. RAG Architecture</w:t>
      </w:r>
    </w:p>
    <w:p>
      <w:pPr>
        <w:spacing w:after="120"/>
      </w:pPr>
      <w:r>
        <w:rPr>
          <w:sz w:val="21"/>
          <w:szCs w:val="21"/>
        </w:rPr>
        <w:t xml:space="preserve">Local document parsing -&gt; chunking -&gt; local embeddings (sentence-transformers, BGE-small/base) -&gt; ChromaDB -&gt; semantic retrieval -&gt; local LLM generation. Every RAG-grounded answer includes citations to the specific source document sections used, so the user can verify the basis of the answer. Knowledge sources for the internal demo are synthetic only: Safety SOP, Maintenance Manual, Inspection Guidelines, Equipment Standards, and Previous Approval Notes - never real confidential company data.</w:t>
      </w:r>
    </w:p>
    <w:p>
      <w:pPr>
        <w:pStyle w:val="Heading1"/>
        <w:spacing w:after="140" w:before="340"/>
      </w:pPr>
      <w:r>
        <w:rPr>
          <w:b/>
          <w:bCs/>
          <w:color w:val="1F4E79"/>
          <w:sz w:val="26"/>
          <w:szCs w:val="26"/>
        </w:rPr>
        <w:t xml:space="preserve">13. Multimodal Pipeline</w:t>
      </w:r>
    </w:p>
    <w:p>
      <w:pPr>
        <w:spacing w:after="120"/>
      </w:pPr>
      <w:r>
        <w:rPr>
          <w:sz w:val="21"/>
          <w:szCs w:val="21"/>
        </w:rPr>
        <w:t xml:space="preserve">Three distinct capabilities are kept explicitly separate in both architecture and UI labeling: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OCR extraction (PaddleOCR) - converts scanned/printed/handwritten pixels into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Vision understanding (local VLM) - interprets photographs and engineering drawings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LLM reasoning - reasons over the text/structured output produced by the two steps above</w:t>
      </w:r>
    </w:p>
    <w:p>
      <w:pPr>
        <w:spacing w:after="120"/>
      </w:pPr>
      <w:r>
        <w:rPr>
          <w:sz w:val="21"/>
          <w:szCs w:val="21"/>
        </w:rPr>
        <w:t xml:space="preserve">The system does not claim perfect handwriting recognition or perfect engineering-drawing interpretation; uncertainty is surfaced, not hidden.</w:t>
      </w:r>
    </w:p>
    <w:p>
      <w:pPr>
        <w:pStyle w:val="Heading1"/>
        <w:spacing w:after="140" w:before="340"/>
      </w:pPr>
      <w:r>
        <w:rPr>
          <w:b/>
          <w:bCs/>
          <w:color w:val="1F4E79"/>
          <w:sz w:val="26"/>
          <w:szCs w:val="26"/>
        </w:rPr>
        <w:t xml:space="preserve">14. Tool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 Category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  <w:tc>
          <w:tcPr>
            <w:tcW w:type="dxa" w:w="27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Boundary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File I/O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read_file, write_file, list_files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Restricted to workspace directory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search_knowledge_base (RAG)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Read-only, synthetic documents only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OCR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extract_text_from_scan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Local model only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Document generation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create_docx, create_xlsx, create_pptx, create_pdf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Writes to output directory only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Code execution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execute_code, run_tests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Docker sandbox, no network, timeout + resource limits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1F4E79"/>
          <w:sz w:val="26"/>
          <w:szCs w:val="26"/>
        </w:rPr>
        <w:t xml:space="preserve">15. Security / Sandbox</w:t>
      </w:r>
    </w:p>
    <w:p>
      <w:pPr>
        <w:spacing w:after="120"/>
      </w:pPr>
      <w:r>
        <w:rPr>
          <w:sz w:val="21"/>
          <w:szCs w:val="21"/>
        </w:rPr>
        <w:t xml:space="preserve">Authentication, RBAC, multi-tenancy and production IAM remain explicitly out of core scope - not requested by the PS. Agent safety boundaries are still required: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Docker sandbox for all generated code - never executed directly on the host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Execution timeout and CPU/memory limits per run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Restricted, isolated filesystem workspace per task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 network access from the code-execution container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Explicit, declared tool permissions per agent step</w:t>
      </w:r>
    </w:p>
    <w:p>
      <w:pPr>
        <w:pStyle w:val="Heading1"/>
        <w:spacing w:after="140" w:before="340"/>
      </w:pPr>
      <w:r>
        <w:rPr>
          <w:b/>
          <w:bCs/>
          <w:color w:val="1F4E79"/>
          <w:sz w:val="26"/>
          <w:szCs w:val="26"/>
        </w:rPr>
        <w:t xml:space="preserve">16. Sovereignty Proof</w:t>
      </w:r>
    </w:p>
    <w:p>
      <w:pPr>
        <w:spacing w:after="120"/>
      </w:pPr>
      <w:r>
        <w:rPr>
          <w:sz w:val="21"/>
          <w:szCs w:val="21"/>
        </w:rPr>
        <w:t xml:space="preserve">Treated as a mandatory, cross-cutting requirement rather than a feature of Flow 1 alone. A real network/outbound-connection audit logger runs for the duration of every demo flow and is visible in the UI as a live "Sovereignty Monitor." Documented fallback for maximum credibility: install all models and dependencies first, then physically disconnect the demo machine from the network before running the live demo.</w:t>
      </w:r>
    </w:p>
    <w:p>
      <w:pPr>
        <w:pStyle w:val="Heading1"/>
        <w:spacing w:after="140" w:before="340"/>
      </w:pPr>
      <w:r>
        <w:rPr>
          <w:b/>
          <w:bCs/>
          <w:color w:val="1F4E79"/>
          <w:sz w:val="26"/>
          <w:szCs w:val="26"/>
        </w:rPr>
        <w:t xml:space="preserve">17.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UI</w:t>
            </w:r>
          </w:p>
        </w:tc>
        <w:tc>
          <w:tcPr>
            <w:tcW w:type="dxa" w:w="3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React, Vite, TypeScript, Tailwind CSS, shadcn/ui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API</w:t>
            </w:r>
          </w:p>
        </w:tc>
        <w:tc>
          <w:tcPr>
            <w:tcW w:type="dxa" w:w="3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Python, FastAPI, Pydantic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Agent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LangGraph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Inference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Local serving</w:t>
            </w:r>
          </w:p>
        </w:tc>
        <w:tc>
          <w:tcPr>
            <w:tcW w:type="dxa" w:w="3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Ollama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Models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Task-specific</w:t>
            </w:r>
          </w:p>
        </w:tc>
        <w:tc>
          <w:tcPr>
            <w:tcW w:type="dxa" w:w="3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Small/quantized general, coding, and vision-language models (sized to venue GPU)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RAG</w:t>
            </w:r>
          </w:p>
        </w:tc>
        <w:tc>
          <w:tcPr>
            <w:tcW w:type="dxa" w:w="3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sentence-transformers (BGE-small / BGE-base)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3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ChromaDB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OCR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 extraction</w:t>
            </w:r>
          </w:p>
        </w:tc>
        <w:tc>
          <w:tcPr>
            <w:tcW w:type="dxa" w:w="3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PaddleOCR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PDF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Parsing</w:t>
            </w:r>
          </w:p>
        </w:tc>
        <w:tc>
          <w:tcPr>
            <w:tcW w:type="dxa" w:w="3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PyMuPDF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Documents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3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python-docx, openpyxl, python-pptx, ReportLab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Sandbox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Code execution</w:t>
            </w:r>
          </w:p>
        </w:tc>
        <w:tc>
          <w:tcPr>
            <w:tcW w:type="dxa" w:w="3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Docker (no network, resource-limited)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Storage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Metadata/logs</w:t>
            </w:r>
          </w:p>
        </w:tc>
        <w:tc>
          <w:tcPr>
            <w:tcW w:type="dxa" w:w="3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SQLite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Sovereignty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Network audit</w:t>
            </w:r>
          </w:p>
        </w:tc>
        <w:tc>
          <w:tcPr>
            <w:tcW w:type="dxa" w:w="3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Local outbound-connection logger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Explicitly excluded unless a specific requirement proves otherwise: Kubernetes, Redis, PostgreSQL, Keycloak, cloud APIs, paid APIs, microservices.</w:t>
      </w:r>
    </w:p>
    <w:p>
      <w:pPr>
        <w:pStyle w:val="Heading1"/>
        <w:spacing w:after="140" w:before="340"/>
      </w:pPr>
      <w:r>
        <w:rPr>
          <w:b/>
          <w:bCs/>
          <w:color w:val="1F4E79"/>
          <w:sz w:val="26"/>
          <w:szCs w:val="26"/>
        </w:rPr>
        <w:t xml:space="preserve">18. UI Requirements</w:t>
      </w:r>
    </w:p>
    <w:p>
      <w:pPr>
        <w:spacing w:after="120"/>
      </w:pPr>
      <w:r>
        <w:rPr>
          <w:sz w:val="21"/>
          <w:szCs w:val="21"/>
        </w:rPr>
        <w:t xml:space="preserve">The interface should feel like a serious enterprise AI workbench, not a chatbot clone. Core areas: Workspace, Chat/Task interface, Documents, Knowledge Base, Agent Activity, Generated Artifacts, Model/Task Routing, Sovereignty Monitor.</w:t>
      </w:r>
    </w:p>
    <w:p>
      <w:pPr>
        <w:spacing w:after="120"/>
      </w:pPr>
      <w:r>
        <w:rPr>
          <w:sz w:val="21"/>
          <w:szCs w:val="21"/>
        </w:rPr>
        <w:t xml:space="preserve">During execution, the UI shows a concise, understandable trace - never raw chain-of-thought: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Reading inspection report -&gt; OCR completed -&gt; Searching Safety SOP -&gt; Retrieved 4 relevant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sections -&gt; Comparing findings -&gt; Drafting approval note -&gt; Generating DOCX -&gt; Validation complete</w:t>
      </w:r>
    </w:p>
    <w:p>
      <w:pPr>
        <w:pStyle w:val="Heading1"/>
        <w:spacing w:after="140" w:before="340"/>
      </w:pPr>
      <w:r>
        <w:rPr>
          <w:b/>
          <w:bCs/>
          <w:color w:val="1F4E79"/>
          <w:sz w:val="26"/>
          <w:szCs w:val="26"/>
        </w:rPr>
        <w:t xml:space="preserve">19.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1. Primary flow reliability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Flow 1 completes end-to-end with zero manual intervention.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2. Self-correction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Coding Agent successfully recovers from at least one injected failure.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3. Vision output quality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Flow 3 produces structured, clearly-labeled observations from an image.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4. Routing correctness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Model Router visibly selects different models for at least two task categories on request.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5. Zero egress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Zero external AI/API calls recorded throughout the full demonstration.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6. Deliverable usability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Generated Approval_Note.docx opens correctly in Word and is genuinely usable.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7. Hardware feasibility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All three flows execute on venue-equivalent hardware within a practical demo time.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1F4E79"/>
          <w:sz w:val="26"/>
          <w:szCs w:val="26"/>
        </w:rPr>
        <w:t xml:space="preserve">20.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1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Demo GPU can't hold all models loaded simultaneously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Hardware-aware router: quantized models, sequential load/unload, single-model fallback covering multiple task types via prompting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OCR fails on skewed/low-quality scans or handwriting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Curated OCR-friendly synthetic documents; deskew/denoise preprocessing before OCR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Docker sandbox glitches live on stage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Rehearse this flow most heavily; pre-test against bad code/timeouts/infinite loops; keep a recorded fallback clip while preserving the real architecture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Vision model too slow for live demo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Fall back to a smaller local VLM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Scope creep into auth/RBAC/multi-tenancy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Explicitly out of scope per Non-Goals; not built, not stubbed unless purely cosmetic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Sovereignty monitor perceived as fake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Real outbound-connection logger implementation; physical air-gap fallback for maximum credibility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1F4E79"/>
          <w:sz w:val="26"/>
          <w:szCs w:val="26"/>
        </w:rPr>
        <w:t xml:space="preserve">21. Build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5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Day 0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Confirm venue hardware; finalize model sizes; scaffold FastAPI + LangGraph + Ollama; index synthetic SOP corpus in ChromaDB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Day 1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Build Flow 1 end-to-end (OCR -&gt; RAG with citations -&gt; LLM comparison -&gt; DOCX generation) to a reliable working state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Day 1-2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Implement config-driven Model Registry + Router; build Tool Layer (file I/O, sandbox, doc search, doc generation)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Day 2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Build Flow 2 (coding agent + sandbox + injected-failure self-correction) and Flow 3 (vision pipeline)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Day 2-3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Implement and verify the real Sovereignty Monitor; stress-test on venue-equivalent hardware; rehearse air-gapped run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Day 3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UI polish (8 core areas), full demo-script rehearsal, fallback clips, edge-case testing across all three flows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1F4E79"/>
          <w:sz w:val="26"/>
          <w:szCs w:val="26"/>
        </w:rPr>
        <w:t xml:space="preserve">22. Final Demo Script (5 minutes)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7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0:00-0:30</w:t>
            </w:r>
          </w:p>
        </w:tc>
        <w:tc>
          <w:tcPr>
            <w:tcW w:type="dxa" w:w="7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Problem - why confidential organizations cannot use public cloud AI for sensitive work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0:30-1:00</w:t>
            </w:r>
          </w:p>
        </w:tc>
        <w:tc>
          <w:tcPr>
            <w:tcW w:type="dxa" w:w="7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Product - introduce Sovereign AI Workbench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1:00-2:30</w:t>
            </w:r>
          </w:p>
        </w:tc>
        <w:tc>
          <w:tcPr>
            <w:tcW w:type="dxa" w:w="7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Primary Flow - scanned inspection report -&gt; OCR -&gt; RAG -&gt; Agent -&gt; Approval_Note.docx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2:30-3:30</w:t>
            </w:r>
          </w:p>
        </w:tc>
        <w:tc>
          <w:tcPr>
            <w:tcW w:type="dxa" w:w="7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Coding Agent - request -&gt; generation -&gt; sandbox -&gt; injected failure -&gt; self-correction -&gt; tests pass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3:30-4:10</w:t>
            </w:r>
          </w:p>
        </w:tc>
        <w:tc>
          <w:tcPr>
            <w:tcW w:type="dxa" w:w="7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Multimodal - inspection image/drawing -&gt; local vision model -&gt; structured findings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4:10-4:30</w:t>
            </w:r>
          </w:p>
        </w:tc>
        <w:tc>
          <w:tcPr>
            <w:tcW w:type="dxa" w:w="7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Model Router - show different task types routed to different local models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4:30-5:00</w:t>
            </w:r>
          </w:p>
        </w:tc>
        <w:tc>
          <w:tcPr>
            <w:tcW w:type="dxa" w:w="7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Sovereignty Proof - live network monitor / air-gap, zero external calls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1F4E79"/>
          <w:sz w:val="26"/>
          <w:szCs w:val="26"/>
        </w:rPr>
        <w:t xml:space="preserve">23. Future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Enterprise IAM, RBAC, and multi-tenant deployment for production rollout.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Fine-tuning or domain-adapting open-weight models on organization-specific (properly authorized)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Multi-GPU orchestration and horizontal scaling for larger user bases.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Expanded connector layer for additional internal systems (ERP, document management, ticketing).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Formal handwriting-recognition and engineering-drawing-interpretation model upgrades with certified accuracy benchmarks.</w:t>
      </w:r>
    </w:p>
    <w:p>
      <w:pPr>
        <w:pStyle w:val="Heading1"/>
        <w:spacing w:after="140" w:before="340"/>
      </w:pPr>
      <w:r>
        <w:rPr>
          <w:b/>
          <w:bCs/>
          <w:color w:val="1F4E79"/>
          <w:sz w:val="26"/>
          <w:szCs w:val="26"/>
        </w:rPr>
        <w:t xml:space="preserve">24. Final Positioning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Sovereign AI Workbench is not another AI chatbot. It is a local AI execution environment for organizations that cannot send sensitive information to cloud AI providers. It combines open-weight local models, intelligent model routing, agentic tool execution, private RAG, multimodal understanding, document generation, sandboxed coding, and verifiable zero-egress operation into one workbench.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595959"/>
        <w:sz w:val="16"/>
        <w:szCs w:val="16"/>
      </w:rPr>
      <w:t xml:space="preserve">Sovereign AI Workbench - Final PRD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2026-08-22T13:31:35.389Z</dcterms:created>
  <dcterms:modified xsi:type="dcterms:W3CDTF">2026-08-22T13:31:35.403Z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