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Sovereign AI Workbench — Test &amp; Validation Plan</w:t>
      </w:r>
    </w:p>
    <w:p>
      <w:r>
        <w:t>Grounded in TRD §27 (Testing Strategy), §32 (Acceptance Criteria), §26 (Error Handling), and §31 (PRD→TRD Traceability Matrix). No test type is invented beyond what the TRD already scopes; this document operationalizes it into a concrete, evidence-mapped plan.</w:t>
      </w:r>
    </w:p>
    <w:p>
      <w:pPr>
        <w:pStyle w:val="Heading1"/>
      </w:pPr>
      <w:r>
        <w:t>1. Testing Philosophy</w:t>
      </w:r>
    </w:p>
    <w:p>
      <w:r>
        <w:t>Every component exposes a pure-function or dependency-injected core so it can be unit tested without Ollama, Docker, or ChromaDB running (TRD §3 Testability principle). Reproducibility means identical inputs plus identical configuration produce the same agent trace *shape* — not necessarily identical LLM text, but the same plan/tool sequence for a given task type (TRD §3). Testing proceeds bottom-up: unit → integration → agent/component-specific → end-to-end → acceptance, matching the dependency order in IMPLEMENTATION\_PLAN.md. A P0 requirement is never marked done on the strength of a passing unit test alone if the TRD traceability matrix (§31) maps it to an integration or e2e test.</w:t>
      </w:r>
    </w:p>
    <w:p>
      <w:pPr>
        <w:pStyle w:val="Heading1"/>
      </w:pPr>
      <w:r>
        <w:t>2. Test Environment</w:t>
      </w:r>
    </w:p>
    <w:p>
      <w:pPr>
        <w:pStyle w:val="ListBullet"/>
      </w:pPr>
      <w:r>
        <w:t>Local-only: All tests run against local Ollama, local Docker, local ChromaDB, and local SQLite — no test may depend on network reachability (consistent with ADR-001).</w:t>
      </w:r>
    </w:p>
    <w:p>
      <w:pPr>
        <w:pStyle w:val="ListBullet"/>
      </w:pPr>
      <w:r>
        <w:t>Venue-equivalent hardware target: Single GPU, 8GB-VRAM class (TRD §28), used for the performance and hardware-validation sections below.</w:t>
      </w:r>
    </w:p>
    <w:p>
      <w:pPr>
        <w:pStyle w:val="ListBullet"/>
      </w:pPr>
      <w:r>
        <w:t>Fixture data: Synthetic knowledge base (five documents, TRD §16.4) and synthetic demo inputs (`scanned_inspection_report.pdf`, `inspection_photo.jpg`, TRD §33.2) — never real MRPL data (PRD Non-Goal §6).</w:t>
      </w:r>
    </w:p>
    <w:p>
      <w:pPr>
        <w:pStyle w:val="ListBullet"/>
      </w:pPr>
      <w:r>
        <w:t>Isolation: Each test run uses a fresh `data/` directory (gitignored) so tests are reproducible from a clean clone.</w:t>
      </w:r>
    </w:p>
    <w:p>
      <w:pPr>
        <w:pStyle w:val="Heading1"/>
      </w:pPr>
      <w:r>
        <w:t>3. Unit Testing</w:t>
      </w:r>
    </w:p>
    <w:p>
      <w:r>
        <w:t>Per TRD §27.1, covering pure-function/dependency-injected cores with no external services required:</w:t>
      </w:r>
    </w:p>
    <w:tbl>
      <w:tblPr>
        <w:tblStyle w:val="TableGrid"/>
        <w:tblW w:type="auto" w:w="0"/>
        <w:tblLook w:firstColumn="1" w:firstRow="1" w:lastColumn="0" w:lastRow="0" w:noHBand="0" w:noVBand="1" w:val="04A0"/>
      </w:tblPr>
      <w:tblGrid>
        <w:gridCol w:w="4320"/>
        <w:gridCol w:w="4320"/>
      </w:tblGrid>
      <w:tr>
        <w:tc>
          <w:tcPr>
            <w:tcW w:type="dxa" w:w="4320"/>
          </w:tcPr>
          <w:p>
            <w:r>
              <w:t>Area What is tested</w:t>
            </w:r>
          </w:p>
        </w:tc>
        <w:tc>
          <w:tcPr>
            <w:tcW w:type="dxa" w:w="4320"/>
          </w:tcPr>
          <w:p>
            <w:r/>
          </w:p>
        </w:tc>
      </w:tr>
      <w:tr>
        <w:tc>
          <w:tcPr>
            <w:tcW w:type="dxa" w:w="4320"/>
          </w:tcPr>
          <w:p>
            <w:r>
              <w:t>Model Router</w:t>
            </w:r>
          </w:p>
        </w:tc>
        <w:tc>
          <w:tcPr>
            <w:tcW w:type="dxa" w:w="4320"/>
          </w:tcPr>
          <w:p>
            <w:r>
              <w:t>Capability matching, modality filtering, deterministic tie-break, fallback chain triggering</w:t>
            </w:r>
          </w:p>
        </w:tc>
      </w:tr>
      <w:tr>
        <w:tc>
          <w:tcPr>
            <w:tcW w:type="dxa" w:w="4320"/>
          </w:tcPr>
          <w:p>
            <w:r>
              <w:t>Model Registry</w:t>
            </w:r>
          </w:p>
        </w:tc>
        <w:tc>
          <w:tcPr>
            <w:tcW w:type="dxa" w:w="4320"/>
          </w:tcPr>
          <w:p>
            <w:r>
              <w:t>YAML loading/validation, missing/duplicate `model_id` → startup error</w:t>
            </w:r>
          </w:p>
        </w:tc>
      </w:tr>
      <w:tr>
        <w:tc>
          <w:tcPr>
            <w:tcW w:type="dxa" w:w="4320"/>
          </w:tcPr>
          <w:p>
            <w:r>
              <w:t>RAG chunking</w:t>
            </w:r>
          </w:p>
        </w:tc>
        <w:tc>
          <w:tcPr>
            <w:tcW w:type="dxa" w:w="4320"/>
          </w:tcPr>
          <w:p>
            <w:r>
              <w:t>Chunk size (800 tokens), overlap (120 tokens), sentence-boundary behavior</w:t>
            </w:r>
          </w:p>
        </w:tc>
      </w:tr>
      <w:tr>
        <w:tc>
          <w:tcPr>
            <w:tcW w:type="dxa" w:w="4320"/>
          </w:tcPr>
          <w:p>
            <w:r>
              <w:t>RAG retrieval</w:t>
            </w:r>
          </w:p>
        </w:tc>
        <w:tc>
          <w:tcPr>
            <w:tcW w:type="dxa" w:w="4320"/>
          </w:tcPr>
          <w:p>
            <w:r>
              <w:t>Similarity scoring, 0.55 threshold filtering (below-threshold chunks dropped, not shown)</w:t>
            </w:r>
          </w:p>
        </w:tc>
      </w:tr>
      <w:tr>
        <w:tc>
          <w:tcPr>
            <w:tcW w:type="dxa" w:w="4320"/>
          </w:tcPr>
          <w:p>
            <w:r>
              <w:t>Tool Registry</w:t>
            </w:r>
          </w:p>
        </w:tc>
        <w:tc>
          <w:tcPr>
            <w:tcW w:type="dxa" w:w="4320"/>
          </w:tcPr>
          <w:p>
            <w:r>
              <w:t>Input/output schema validation per tool; permission-set enforcement per task\_type</w:t>
            </w:r>
          </w:p>
        </w:tc>
      </w:tr>
      <w:tr>
        <w:tc>
          <w:tcPr>
            <w:tcW w:type="dxa" w:w="4320"/>
          </w:tcPr>
          <w:p>
            <w:r>
              <w:t>API schemas</w:t>
            </w:r>
          </w:p>
        </w:tc>
        <w:tc>
          <w:tcPr>
            <w:tcW w:type="dxa" w:w="4320"/>
          </w:tcPr>
          <w:p>
            <w:r>
              <w:t>Pydantic request/response validation for all ten endpoints (TRD §9)</w:t>
            </w:r>
          </w:p>
        </w:tc>
      </w:tr>
      <w:tr>
        <w:tc>
          <w:tcPr>
            <w:tcW w:type="dxa" w:w="4320"/>
          </w:tcPr>
          <w:p>
            <w:r>
              <w:t>Document Generator</w:t>
            </w:r>
          </w:p>
        </w:tc>
        <w:tc>
          <w:tcPr>
            <w:tcW w:type="dxa" w:w="4320"/>
          </w:tcPr>
          <w:p>
            <w:r>
              <w:t>Template-to-data schema checks (no live render needed)</w:t>
            </w:r>
          </w:p>
        </w:tc>
      </w:tr>
      <w:tr>
        <w:tc>
          <w:tcPr>
            <w:tcW w:type="dxa" w:w="4320"/>
          </w:tcPr>
          <w:p>
            <w:r>
              <w:t>Sovereignty classification</w:t>
            </w:r>
          </w:p>
        </w:tc>
        <w:tc>
          <w:tcPr>
            <w:tcW w:type="dxa" w:w="4320"/>
          </w:tcPr>
          <w:p>
            <w:r>
              <w:t>local/external/blocked classification logic against fixture socket data</w:t>
            </w:r>
          </w:p>
        </w:tc>
      </w:tr>
    </w:tbl>
    <w:p>
      <w:pPr>
        <w:pStyle w:val="Heading1"/>
      </w:pPr>
      <w:r>
        <w:t>4. Integration Testing</w:t>
      </w:r>
    </w:p>
    <w:p>
      <w:r>
        <w:t>Per TRD §27.2, real (non-mocked) local services composed pairwise:</w:t>
      </w:r>
    </w:p>
    <w:tbl>
      <w:tblPr>
        <w:tblStyle w:val="TableGrid"/>
        <w:tblW w:type="auto" w:w="0"/>
        <w:tblLook w:firstColumn="1" w:firstRow="1" w:lastColumn="0" w:lastRow="0" w:noHBand="0" w:noVBand="1" w:val="04A0"/>
      </w:tblPr>
      <w:tblGrid>
        <w:gridCol w:w="4320"/>
        <w:gridCol w:w="4320"/>
      </w:tblGrid>
      <w:tr>
        <w:tc>
          <w:tcPr>
            <w:tcW w:type="dxa" w:w="4320"/>
          </w:tcPr>
          <w:p>
            <w:r>
              <w:t>Integration What is verified</w:t>
            </w:r>
          </w:p>
        </w:tc>
        <w:tc>
          <w:tcPr>
            <w:tcW w:type="dxa" w:w="4320"/>
          </w:tcPr>
          <w:p>
            <w:r/>
          </w:p>
        </w:tc>
      </w:tr>
      <w:tr>
        <w:tc>
          <w:tcPr>
            <w:tcW w:type="dxa" w:w="4320"/>
          </w:tcPr>
          <w:p>
            <w:r>
              <w:t>OCR → RAG</w:t>
            </w:r>
          </w:p>
        </w:tc>
        <w:tc>
          <w:tcPr>
            <w:tcW w:type="dxa" w:w="4320"/>
          </w:tcPr>
          <w:p>
            <w:r>
              <w:t>OCR output correctly flows into the ingestion pipeline's chunking step</w:t>
            </w:r>
          </w:p>
        </w:tc>
      </w:tr>
      <w:tr>
        <w:tc>
          <w:tcPr>
            <w:tcW w:type="dxa" w:w="4320"/>
          </w:tcPr>
          <w:p>
            <w:r>
              <w:t>RAG → LLM</w:t>
            </w:r>
          </w:p>
        </w:tc>
        <w:tc>
          <w:tcPr>
            <w:tcW w:type="dxa" w:w="4320"/>
          </w:tcPr>
          <w:p>
            <w:r>
              <w:t>Retrieved chunks correctly assembled into a prompt within `context_length`</w:t>
            </w:r>
          </w:p>
        </w:tc>
      </w:tr>
      <w:tr>
        <w:tc>
          <w:tcPr>
            <w:tcW w:type="dxa" w:w="4320"/>
          </w:tcPr>
          <w:p>
            <w:r>
              <w:t>Agent → Tool</w:t>
            </w:r>
          </w:p>
        </w:tc>
        <w:tc>
          <w:tcPr>
            <w:tcW w:type="dxa" w:w="4320"/>
          </w:tcPr>
          <w:p>
            <w:r>
              <w:t>LangGraph Execution node correctly invokes a real Tool Registry tool and records the Observation</w:t>
            </w:r>
          </w:p>
        </w:tc>
      </w:tr>
      <w:tr>
        <w:tc>
          <w:tcPr>
            <w:tcW w:type="dxa" w:w="4320"/>
          </w:tcPr>
          <w:p>
            <w:r>
              <w:t>Code → Docker</w:t>
            </w:r>
          </w:p>
        </w:tc>
        <w:tc>
          <w:tcPr>
            <w:tcW w:type="dxa" w:w="4320"/>
          </w:tcPr>
          <w:p>
            <w:r>
              <w:t>`execute_code`/`run_tests` against the real sandbox image with network/resource limits verified</w:t>
            </w:r>
          </w:p>
        </w:tc>
      </w:tr>
      <w:tr>
        <w:tc>
          <w:tcPr>
            <w:tcW w:type="dxa" w:w="4320"/>
          </w:tcPr>
          <w:p>
            <w:r>
              <w:t>Agent → DOCX</w:t>
            </w:r>
          </w:p>
        </w:tc>
        <w:tc>
          <w:tcPr>
            <w:tcW w:type="dxa" w:w="4320"/>
          </w:tcPr>
          <w:p>
            <w:r>
              <w:t>A full `document` task\_type run produces a DOCX that passes Validation node checks</w:t>
            </w:r>
          </w:p>
        </w:tc>
      </w:tr>
    </w:tbl>
    <w:p>
      <w:pPr>
        <w:pStyle w:val="Heading1"/>
      </w:pPr>
      <w:r>
        <w:t>5. Agent Testing</w:t>
      </w:r>
    </w:p>
    <w:p>
      <w:pPr>
        <w:pStyle w:val="ListBullet"/>
      </w:pPr>
      <w:r>
        <w:t>Node-level transition tests for all seven graph nodes (Task Understanding, Planning, Model Selection, Tool Selection, Execution, Observation, Validation) against the TRD §11.3 transition table, plus Final Deliverable output validation, using fake Model Router/Tool Registry.</w:t>
      </w:r>
    </w:p>
    <w:p>
      <w:pPr>
        <w:pStyle w:val="ListBullet"/>
      </w:pPr>
      <w:r>
        <w:t>Bounding-rule tests: `max_iterations` enforcement per task\_type (document=4, coding=6, vision=3); confirm the agent itself can never override this at runtime (TRD §11.4).</w:t>
      </w:r>
    </w:p>
    <w:p>
      <w:pPr>
        <w:pStyle w:val="ListBullet"/>
      </w:pPr>
      <w:r>
        <w:t>Undeclared-tool-call rejection test: a tool call for a tool not in the task\_type's permitted set is rejected before reaching the Tool Registry.</w:t>
      </w:r>
    </w:p>
    <w:p>
      <w:pPr>
        <w:pStyle w:val="ListBullet"/>
      </w:pPr>
      <w:r>
        <w:t>Trace-synchronicity test: every node transition, tool call, and model call is written to `task_events` before the next node begins.</w:t>
      </w:r>
    </w:p>
    <w:p>
      <w:pPr>
        <w:pStyle w:val="ListBullet"/>
      </w:pPr>
      <w:r>
        <w:t>`failed_bounded` test: confirm partial plan/observations are still returned to the UI, never discarded, when max\_iterations is reached without validation passing.</w:t>
      </w:r>
    </w:p>
    <w:p>
      <w:pPr>
        <w:pStyle w:val="Heading1"/>
      </w:pPr>
      <w:r>
        <w:t>6. RAG Testing</w:t>
      </w:r>
    </w:p>
    <w:p>
      <w:pPr>
        <w:pStyle w:val="ListBullet"/>
      </w:pPr>
      <w:r>
        <w:t>Ingestion: five synthetic documents ingest without error; `chunk_count &gt; 0` for each (TRD §33.1 checklist item).</w:t>
      </w:r>
    </w:p>
    <w:p>
      <w:pPr>
        <w:pStyle w:val="ListBullet"/>
      </w:pPr>
      <w:r>
        <w:t>Retrieval: known queries against the Safety SOP return the expected section with score ≥ 0.55.</w:t>
      </w:r>
    </w:p>
    <w:p>
      <w:pPr>
        <w:pStyle w:val="ListBullet"/>
      </w:pPr>
      <w:r>
        <w:t>Citation format: retrieved chunks produce citations in the exact `{document_title} - {section} (p.{page})` format (TRD §16.3), matching the Approval Note template's evidence-reference field.</w:t>
      </w:r>
    </w:p>
    <w:p>
      <w:pPr>
        <w:pStyle w:val="ListBullet"/>
      </w:pPr>
      <w:r>
        <w:t>Negative case: query with no relevant match returns empty result + warning event, never a fabricated citation.</w:t>
      </w:r>
    </w:p>
    <w:p>
      <w:pPr>
        <w:pStyle w:val="Heading1"/>
      </w:pPr>
      <w:r>
        <w:t>7. OCR/Vision Testing</w:t>
      </w:r>
    </w:p>
    <w:p>
      <w:pPr>
        <w:pStyle w:val="ListBullet"/>
      </w:pPr>
      <w:r>
        <w:t>OCR: native-vs-scanned page detection accuracy on the synthetic report; per-line confidence scoring; pages below 0.6 average confidence flagged `low_confidence=true`.</w:t>
      </w:r>
    </w:p>
    <w:p>
      <w:pPr>
        <w:pStyle w:val="ListBullet"/>
      </w:pPr>
      <w:r>
        <w:t>OCR/vision separation: confirm OCR never invokes any LLM (pixels-to-text only) and Vision never performs raw text extraction — the two remain architecturally and observably distinct (ADR-007).</w:t>
      </w:r>
    </w:p>
    <w:p>
      <w:pPr>
        <w:pStyle w:val="ListBullet"/>
      </w:pPr>
      <w:r>
        <w:t>Vision schema: `VisionResult{observation[], interpretation[], uncertainty[], model_used}` — all three arrays present, non-empty observation list.</w:t>
      </w:r>
    </w:p>
    <w:p>
      <w:pPr>
        <w:pStyle w:val="ListBullet"/>
      </w:pPr>
      <w:r>
        <w:t>Vision labeling: confirm no UI string or model output claims a certified inspection verdict (TRD §18 hard constraint).</w:t>
      </w:r>
    </w:p>
    <w:p>
      <w:pPr>
        <w:pStyle w:val="Heading1"/>
      </w:pPr>
      <w:r>
        <w:t>8. Sandbox Security Testing</w:t>
      </w:r>
    </w:p>
    <w:p>
      <w:pPr>
        <w:pStyle w:val="ListBullet"/>
      </w:pPr>
      <w:r>
        <w:t>`--network none` verification: a script attempting an outbound connection from inside the sandbox fails/is blocked.</w:t>
      </w:r>
    </w:p>
    <w:p>
      <w:pPr>
        <w:pStyle w:val="ListBullet"/>
      </w:pPr>
      <w:r>
        <w:t>Filesystem boundary: a script attempting to write outside `/data/sandbox/{task_id}` fails against the read-only image filesystem.</w:t>
      </w:r>
    </w:p>
    <w:p>
      <w:pPr>
        <w:pStyle w:val="ListBullet"/>
      </w:pPr>
      <w:r>
        <w:t>Resource limits: `--cpus=1` and `--memory=512m` enforced; an OOM-inducing script returns `exit_code=137`.</w:t>
      </w:r>
    </w:p>
    <w:p>
      <w:pPr>
        <w:pStyle w:val="ListBullet"/>
      </w:pPr>
      <w:r>
        <w:t>Timeout: an infinite-loop script is `SIGKILL`ed at `timeout_s` (default 30s) via the wrapper, independent of in-container timeout logic.</w:t>
      </w:r>
    </w:p>
    <w:p>
      <w:pPr>
        <w:pStyle w:val="ListBullet"/>
      </w:pPr>
      <w:r>
        <w:t>Cleanup: confirm `--rm` leaves no orphaned containers; confirm `scripts/sandbox_gc.py` reaps any that survive an unclean shutdown.</w:t>
      </w:r>
    </w:p>
    <w:p>
      <w:pPr>
        <w:pStyle w:val="ListBullet"/>
      </w:pPr>
      <w:r>
        <w:t>Host-execution negative test: with Docker daemon stopped, confirm `execute_code`/`run_tests` return a 503-equivalent `ToolError` and that no code path executes the submitted code on the host under any condition, including this failure path (TRD §23 hard constraint — this is a security-critical negative test, not optional).</w:t>
      </w:r>
    </w:p>
    <w:p>
      <w:pPr>
        <w:pStyle w:val="Heading1"/>
      </w:pPr>
      <w:r>
        <w:t>9. Sovereignty Testing</w:t>
      </w:r>
    </w:p>
    <w:p>
      <w:r>
        <w:t>Per PRD §8 cross-cutting requirement and TRD §24, §27.3, §32.5, verified as a full three-hero-flow run:</w:t>
      </w:r>
    </w:p>
    <w:p>
      <w:pPr>
        <w:pStyle w:val="ListBullet"/>
      </w:pPr>
      <w:r>
        <w:t>`external_ai_calls == 0`</w:t>
      </w:r>
    </w:p>
    <w:p>
      <w:pPr>
        <w:pStyle w:val="ListBullet"/>
      </w:pPr>
      <w:r>
        <w:t>`external_embedding_calls == 0`</w:t>
      </w:r>
    </w:p>
    <w:p>
      <w:pPr>
        <w:pStyle w:val="ListBullet"/>
      </w:pPr>
      <w:r>
        <w:t>`external_ocr_calls == 0`</w:t>
      </w:r>
    </w:p>
    <w:p>
      <w:pPr>
        <w:pStyle w:val="ListBullet"/>
      </w:pPr>
      <w:r>
        <w:t>`successful_external_connections == 0`</w:t>
      </w:r>
    </w:p>
    <w:p>
      <w:pPr>
        <w:pStyle w:val="ListBullet"/>
      </w:pPr>
      <w:r>
        <w:t>`data_egress_mb == 0` when `byte_accounting_supported == true`; otherwise reported as unavailable — never assumed zero when byte accounting cannot be confirmed (TRD §37 correction record).</w:t>
      </w:r>
    </w:p>
    <w:p>
      <w:pPr>
        <w:pStyle w:val="ListBullet"/>
      </w:pPr>
      <w:r>
        <w:t>Physical air-gap demonstration where possible: full run with the network interface physically disconnected after setup (TRD §24.4, §29.1).</w:t>
      </w:r>
    </w:p>
    <w:p>
      <w:pPr>
        <w:pStyle w:val="ListBullet"/>
      </w:pPr>
      <w:r>
        <w:t>Classification correctness: confirm `external` and `blocked` connections, if any occur during negative testing (e.g., deliberately misconfigured allowlist in a test-only run), are surfaced and never silently merged into `local`.</w:t>
      </w:r>
    </w:p>
    <w:p>
      <w:pPr>
        <w:pStyle w:val="Heading1"/>
      </w:pPr>
      <w:r>
        <w:t>10. API Contract Testing</w:t>
      </w:r>
    </w:p>
    <w:p>
      <w:pPr>
        <w:pStyle w:val="ListBullet"/>
      </w:pPr>
      <w:r>
        <w:t>All ten TRD §9 endpoints tested against their exact request/response Pydantic schemas, including documented status codes (201/202/200/404/409/410/413/422/503 as applicable per endpoint).</w:t>
      </w:r>
    </w:p>
    <w:p>
      <w:pPr>
        <w:pStyle w:val="ListBullet"/>
      </w:pPr>
      <w:r>
        <w:t>422 validation errors return a field-level error list, not a generic message.</w:t>
      </w:r>
    </w:p>
    <w:p>
      <w:pPr>
        <w:pStyle w:val="ListBullet"/>
      </w:pPr>
      <w:r>
        <w:t>SSE endpoint (`GET /api/tasks/{task_id}/events`) streams `TaskEvent` objects matching the whitelisted event schema — never raw model output.</w:t>
      </w:r>
    </w:p>
    <w:p>
      <w:pPr>
        <w:pStyle w:val="Heading1"/>
      </w:pPr>
      <w:r>
        <w:t>11. Artifact Validation</w:t>
      </w:r>
    </w:p>
    <w:p>
      <w:pPr>
        <w:pStyle w:val="ListBullet"/>
      </w:pPr>
      <w:r>
        <w:t>Every generated artifact (docx, xlsx, pptx, pdf, code) carries the full `ArtifactEnvelope`: title, `generated_by`, `ai_generated_marking`, timestamp, findings, evidence\_references (TRD §22.1) — per PRD Requirement #8.</w:t>
      </w:r>
    </w:p>
    <w:p>
      <w:pPr>
        <w:pStyle w:val="ListBullet"/>
      </w:pPr>
      <w:r>
        <w:t>DOCX specifically: opens correctly in Word (rendered via LibreOffice conversion + visual check, per the docx skill's verify-the-output step) and is genuinely usable (PRD Success Metric #6).</w:t>
      </w:r>
    </w:p>
    <w:p>
      <w:pPr>
        <w:pStyle w:val="ListBullet"/>
      </w:pPr>
      <w:r>
        <w:t>Storage/registration: artifact file exists at `data/outputs/{artifact_id}.{ext}` and is correctly registered in the `artifacts` table with `sources_json` populated.</w:t>
      </w:r>
    </w:p>
    <w:p>
      <w:pPr>
        <w:pStyle w:val="ListBullet"/>
      </w:pPr>
      <w:r>
        <w:t>Missing-file negative test: if the registered file is deleted from disk, `GET /api/artifacts/{artifact_id}` returns `410 Gone` and logs the event, per Component #18 failure mode.</w:t>
      </w:r>
    </w:p>
    <w:p>
      <w:pPr>
        <w:pStyle w:val="Heading1"/>
      </w:pPr>
      <w:r>
        <w:t>12. Performance Testing</w:t>
      </w:r>
    </w:p>
    <w:p>
      <w:r>
        <w:t>Targets from TRD §28 (rehearsal planning numbers, not enterprise SLAs), measured on venue-equivalent hardware:</w:t>
      </w:r>
    </w:p>
    <w:tbl>
      <w:tblPr>
        <w:tblStyle w:val="TableGrid"/>
        <w:tblW w:type="auto" w:w="0"/>
        <w:tblLook w:firstColumn="1" w:firstRow="1" w:lastColumn="0" w:lastRow="0" w:noHBand="0" w:noVBand="1" w:val="04A0"/>
      </w:tblPr>
      <w:tblGrid>
        <w:gridCol w:w="4320"/>
        <w:gridCol w:w="4320"/>
      </w:tblGrid>
      <w:tr>
        <w:tc>
          <w:tcPr>
            <w:tcW w:type="dxa" w:w="4320"/>
          </w:tcPr>
          <w:p>
            <w:r>
              <w:t>Metric Target</w:t>
            </w:r>
          </w:p>
        </w:tc>
        <w:tc>
          <w:tcPr>
            <w:tcW w:type="dxa" w:w="4320"/>
          </w:tcPr>
          <w:p>
            <w:r/>
          </w:p>
        </w:tc>
      </w:tr>
      <w:tr>
        <w:tc>
          <w:tcPr>
            <w:tcW w:type="dxa" w:w="4320"/>
          </w:tcPr>
          <w:p>
            <w:r>
              <w:t>Backend + frontend startup</w:t>
            </w:r>
          </w:p>
        </w:tc>
        <w:tc>
          <w:tcPr>
            <w:tcW w:type="dxa" w:w="4320"/>
          </w:tcPr>
          <w:p>
            <w:r>
              <w:t>&lt; 20s</w:t>
            </w:r>
          </w:p>
        </w:tc>
      </w:tr>
      <w:tr>
        <w:tc>
          <w:tcPr>
            <w:tcW w:type="dxa" w:w="4320"/>
          </w:tcPr>
          <w:p>
            <w:r>
              <w:t>Model load time (first use)</w:t>
            </w:r>
          </w:p>
        </w:tc>
        <w:tc>
          <w:tcPr>
            <w:tcW w:type="dxa" w:w="4320"/>
          </w:tcPr>
          <w:p>
            <w:r>
              <w:t>&lt; 15s per model</w:t>
            </w:r>
          </w:p>
        </w:tc>
      </w:tr>
      <w:tr>
        <w:tc>
          <w:tcPr>
            <w:tcW w:type="dxa" w:w="4320"/>
          </w:tcPr>
          <w:p>
            <w:r>
              <w:t>OCR latency</w:t>
            </w:r>
          </w:p>
        </w:tc>
        <w:tc>
          <w:tcPr>
            <w:tcW w:type="dxa" w:w="4320"/>
          </w:tcPr>
          <w:p>
            <w:r>
              <w:t>&lt; 3s per page</w:t>
            </w:r>
          </w:p>
        </w:tc>
      </w:tr>
      <w:tr>
        <w:tc>
          <w:tcPr>
            <w:tcW w:type="dxa" w:w="4320"/>
          </w:tcPr>
          <w:p>
            <w:r>
              <w:t>Retrieval latency (RAG top-5)</w:t>
            </w:r>
          </w:p>
        </w:tc>
        <w:tc>
          <w:tcPr>
            <w:tcW w:type="dxa" w:w="4320"/>
          </w:tcPr>
          <w:p>
            <w:r>
              <w:t>&lt; 1s</w:t>
            </w:r>
          </w:p>
        </w:tc>
      </w:tr>
      <w:tr>
        <w:tc>
          <w:tcPr>
            <w:tcW w:type="dxa" w:w="4320"/>
          </w:tcPr>
          <w:p>
            <w:r>
              <w:t>Inference latency (general/coding, \~500 output tokens)</w:t>
            </w:r>
          </w:p>
        </w:tc>
        <w:tc>
          <w:tcPr>
            <w:tcW w:type="dxa" w:w="4320"/>
          </w:tcPr>
          <w:p>
            <w:r>
              <w:t>&lt; 12s</w:t>
            </w:r>
          </w:p>
        </w:tc>
      </w:tr>
      <w:tr>
        <w:tc>
          <w:tcPr>
            <w:tcW w:type="dxa" w:w="4320"/>
          </w:tcPr>
          <w:p>
            <w:r>
              <w:t>Total agent latency (Flow 1, end-to-end)</w:t>
            </w:r>
          </w:p>
        </w:tc>
        <w:tc>
          <w:tcPr>
            <w:tcW w:type="dxa" w:w="4320"/>
          </w:tcPr>
          <w:p>
            <w:r>
              <w:t>&lt; 90s</w:t>
            </w:r>
          </w:p>
        </w:tc>
      </w:tr>
      <w:tr>
        <w:tc>
          <w:tcPr>
            <w:tcW w:type="dxa" w:w="4320"/>
          </w:tcPr>
          <w:p>
            <w:r>
              <w:t>Document generation time (DOCX)</w:t>
            </w:r>
          </w:p>
        </w:tc>
        <w:tc>
          <w:tcPr>
            <w:tcW w:type="dxa" w:w="4320"/>
          </w:tcPr>
          <w:p>
            <w:r>
              <w:t>&lt; 3s</w:t>
            </w:r>
          </w:p>
        </w:tc>
      </w:tr>
      <w:tr>
        <w:tc>
          <w:tcPr>
            <w:tcW w:type="dxa" w:w="4320"/>
          </w:tcPr>
          <w:p>
            <w:r>
              <w:t>Sandbox execution time (Flow 2, incl. one self-correction cycle)</w:t>
            </w:r>
          </w:p>
        </w:tc>
        <w:tc>
          <w:tcPr>
            <w:tcW w:type="dxa" w:w="4320"/>
          </w:tcPr>
          <w:p>
            <w:r>
              <w:t>&lt; 45s</w:t>
            </w:r>
          </w:p>
        </w:tc>
      </w:tr>
      <w:tr>
        <w:tc>
          <w:tcPr>
            <w:tcW w:type="dxa" w:w="4320"/>
          </w:tcPr>
          <w:p>
            <w:r>
              <w:t>VRAM usage (single model resident)</w:t>
            </w:r>
          </w:p>
        </w:tc>
        <w:tc>
          <w:tcPr>
            <w:tcW w:type="dxa" w:w="4320"/>
          </w:tcPr>
          <w:p>
            <w:r>
              <w:t>&lt; 6.5GB</w:t>
            </w:r>
          </w:p>
        </w:tc>
      </w:tr>
      <w:tr>
        <w:tc>
          <w:tcPr>
            <w:tcW w:type="dxa" w:w="4320"/>
          </w:tcPr>
          <w:p>
            <w:r>
              <w:t>RAM usage (backend + ChromaDB + monitor)</w:t>
            </w:r>
          </w:p>
        </w:tc>
        <w:tc>
          <w:tcPr>
            <w:tcW w:type="dxa" w:w="4320"/>
          </w:tcPr>
          <w:p>
            <w:r>
              <w:t>&lt; 3GB</w:t>
            </w:r>
          </w:p>
        </w:tc>
      </w:tr>
    </w:tbl>
    <w:p>
      <w:r>
        <w:t>Primary objective: all three flows reliably complete within a practical 5-minute live demonstration including narration time (TRD §28) — the individual metrics above are diagnostic, not the acceptance bar themselves.</w:t>
      </w:r>
    </w:p>
    <w:p>
      <w:pPr>
        <w:pStyle w:val="Heading1"/>
      </w:pPr>
      <w:r>
        <w:t>13. Hardware Validation</w:t>
      </w:r>
    </w:p>
    <w:p>
      <w:pPr>
        <w:pStyle w:val="ListBullet"/>
      </w:pPr>
      <w:r>
        <w:t>Single-model-fallback mode test: configure `configs/models.yaml` to a single general-purpose model covering all three roles via role-specific prompting; confirm all three flows still complete (TRD §15.1, §31 Req. #11 demo evidence).</w:t>
      </w:r>
    </w:p>
    <w:p>
      <w:pPr>
        <w:pStyle w:val="ListBullet"/>
      </w:pPr>
      <w:r>
        <w:t>Sequential load/unload test: force VRAM pressure (e.g., artificially small VRAM budget in test config) and confirm LRU unload + one retry behavior before falling back.</w:t>
      </w:r>
    </w:p>
    <w:p>
      <w:pPr>
        <w:pStyle w:val="ListBullet"/>
      </w:pPr>
      <w:r>
        <w:t>Availability probe caching: confirm `GET /api/models` probe result is cached for 10s and does not hammer the local Ollama server.</w:t>
      </w:r>
    </w:p>
    <w:p>
      <w:pPr>
        <w:pStyle w:val="Heading1"/>
      </w:pPr>
      <w:r>
        <w:t>14. End-to-End Hero Flow Testing</w:t>
      </w:r>
    </w:p>
    <w:p>
      <w:r>
        <w:t>Per TRD §27.3:</w:t>
      </w:r>
    </w:p>
    <w:p>
      <w:pPr>
        <w:pStyle w:val="ListBullet"/>
      </w:pPr>
      <w:r>
        <w:t>Flow 1: Full run from synthetic scanned PDF upload to `Approval_Note.docx` artifact — verifies the complete pipeline (upload → OCR → RAG → LLM comparison → DOCX → validation → artifact storage), not just individual stages in isolation.</w:t>
      </w:r>
    </w:p>
    <w:p>
      <w:pPr>
        <w:pStyle w:val="ListBullet"/>
      </w:pPr>
      <w:r>
        <w:t>Flow 2: Full run including the intentionally injected failure and observed self-correction — this test explicitly verifies failure → observation → correction, not merely a successful code-execution path. A test that only confirms "code ran and passed" without ever exercising the failure/re-plan/fix cycle does not satisfy this requirement.</w:t>
      </w:r>
    </w:p>
    <w:p>
      <w:pPr>
        <w:pStyle w:val="ListBullet"/>
      </w:pPr>
      <w:r>
        <w:t>Flow 3: Full run from image upload to structured `VisionResult` — verifies actual local multimodal processing (a real vision-model call), not a mocked/stubbed response standing in for it.</w:t>
      </w:r>
    </w:p>
    <w:p>
      <w:pPr>
        <w:pStyle w:val="ListBullet"/>
      </w:pPr>
      <w:r>
        <w:t>Sovereignty (see Section 9): Full three-flow run with the assertions listed above.</w:t>
      </w:r>
    </w:p>
    <w:p>
      <w:pPr>
        <w:pStyle w:val="Heading1"/>
      </w:pPr>
      <w:r>
        <w:t>15. Failure Injection</w:t>
      </w:r>
    </w:p>
    <w:p>
      <w:r>
        <w:t>Per TRD §26, every condition below is tested with its expected detection, recovery, user-visible behavior, logging, and retry decision: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 Detection Recovery User-Visible Behavior Logging Retry?</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Model unavailable</w:t>
            </w:r>
          </w:p>
        </w:tc>
        <w:tc>
          <w:tcPr>
            <w:tcW w:type="dxa" w:w="1440"/>
          </w:tcPr>
          <w:p>
            <w:r>
              <w:t>Router raises `ModelUnavailable`</w:t>
            </w:r>
          </w:p>
        </w:tc>
        <w:tc>
          <w:tcPr>
            <w:tcW w:type="dxa" w:w="1440"/>
          </w:tcPr>
          <w:p>
            <w:r>
              <w:t>Fallback chain (§15), else task fails cleanly</w:t>
            </w:r>
          </w:p>
        </w:tc>
        <w:tc>
          <w:tcPr>
            <w:tcW w:type="dxa" w:w="1440"/>
          </w:tcPr>
          <w:p>
            <w:r>
              <w:t>"The required AI model isn't loaded. Try again in a moment."</w:t>
            </w:r>
          </w:p>
        </w:tc>
        <w:tc>
          <w:tcPr>
            <w:tcW w:type="dxa" w:w="1440"/>
          </w:tcPr>
          <w:p>
            <w:r>
              <w:t>Structured error log, task\_event level=error</w:t>
            </w:r>
          </w:p>
        </w:tc>
        <w:tc>
          <w:tcPr>
            <w:tcW w:type="dxa" w:w="1440"/>
          </w:tcPr>
          <w:p>
            <w:r>
              <w:t>No automatic retry beyond fallback chain</w:t>
            </w:r>
          </w:p>
        </w:tc>
      </w:tr>
      <w:tr>
        <w:tc>
          <w:tcPr>
            <w:tcW w:type="dxa" w:w="1440"/>
          </w:tcPr>
          <w:p>
            <w:r>
              <w:t>Malformed document</w:t>
            </w:r>
          </w:p>
        </w:tc>
        <w:tc>
          <w:tcPr>
            <w:tcW w:type="dxa" w:w="1440"/>
          </w:tcPr>
          <w:p>
            <w:r>
              <w:t>Ingestion parse failure</w:t>
            </w:r>
          </w:p>
        </w:tc>
        <w:tc>
          <w:tcPr>
            <w:tcW w:type="dxa" w:w="1440"/>
          </w:tcPr>
          <w:p>
            <w:r>
              <w:t>Ingestion error, logged, skipped</w:t>
            </w:r>
          </w:p>
        </w:tc>
        <w:tc>
          <w:tcPr>
            <w:tcW w:type="dxa" w:w="1440"/>
          </w:tcPr>
          <w:p>
            <w:r>
              <w:t>Task fails fast with a clear message</w:t>
            </w:r>
          </w:p>
        </w:tc>
        <w:tc>
          <w:tcPr>
            <w:tcW w:type="dxa" w:w="1440"/>
          </w:tcPr>
          <w:p>
            <w:r>
              <w:t>IngestionError logged</w:t>
            </w:r>
          </w:p>
        </w:tc>
        <w:tc>
          <w:tcPr>
            <w:tcW w:type="dxa" w:w="1440"/>
          </w:tcPr>
          <w:p>
            <w:r>
              <w:t>No</w:t>
            </w:r>
          </w:p>
        </w:tc>
      </w:tr>
      <w:tr>
        <w:tc>
          <w:tcPr>
            <w:tcW w:type="dxa" w:w="1440"/>
          </w:tcPr>
          <w:p>
            <w:r>
              <w:t>OCR failure (low confidence)</w:t>
            </w:r>
          </w:p>
        </w:tc>
        <w:tc>
          <w:tcPr>
            <w:tcW w:type="dxa" w:w="1440"/>
          </w:tcPr>
          <w:p>
            <w:r>
              <w:t>Confidence &lt; 0.6</w:t>
            </w:r>
          </w:p>
        </w:tc>
        <w:tc>
          <w:tcPr>
            <w:tcW w:type="dxa" w:w="1440"/>
          </w:tcPr>
          <w:p>
            <w:r>
              <w:t>Finding flagged, not silently dropped</w:t>
            </w:r>
          </w:p>
        </w:tc>
        <w:tc>
          <w:tcPr>
            <w:tcW w:type="dxa" w:w="1440"/>
          </w:tcPr>
          <w:p>
            <w:r>
              <w:t>Finding shown with visible caveat</w:t>
            </w:r>
          </w:p>
        </w:tc>
        <w:tc>
          <w:tcPr>
            <w:tcW w:type="dxa" w:w="1440"/>
          </w:tcPr>
          <w:p>
            <w:r>
              <w:t>Confidence + preprocessing\_status logged</w:t>
            </w:r>
          </w:p>
        </w:tc>
        <w:tc>
          <w:tcPr>
            <w:tcW w:type="dxa" w:w="1440"/>
          </w:tcPr>
          <w:p>
            <w:r>
              <w:t>No — surfaced, not retried silently</w:t>
            </w:r>
          </w:p>
        </w:tc>
      </w:tr>
      <w:tr>
        <w:tc>
          <w:tcPr>
            <w:tcW w:type="dxa" w:w="1440"/>
          </w:tcPr>
          <w:p>
            <w:r>
              <w:t>RAG no-result</w:t>
            </w:r>
          </w:p>
        </w:tc>
        <w:tc>
          <w:tcPr>
            <w:tcW w:type="dxa" w:w="1440"/>
          </w:tcPr>
          <w:p>
            <w:r>
              <w:t>Empty ChromaDB query result</w:t>
            </w:r>
          </w:p>
        </w:tc>
        <w:tc>
          <w:tcPr>
            <w:tcW w:type="dxa" w:w="1440"/>
          </w:tcPr>
          <w:p>
            <w:r>
              <w:t>Agent proceeds without grounding for that step</w:t>
            </w:r>
          </w:p>
        </w:tc>
        <w:tc>
          <w:tcPr>
            <w:tcW w:type="dxa" w:w="1440"/>
          </w:tcPr>
          <w:p>
            <w:r>
              <w:t>Noted in the artifact as ungrounded</w:t>
            </w:r>
          </w:p>
        </w:tc>
        <w:tc>
          <w:tcPr>
            <w:tcW w:type="dxa" w:w="1440"/>
          </w:tcPr>
          <w:p>
            <w:r>
              <w:t>Warning event logged</w:t>
            </w:r>
          </w:p>
        </w:tc>
        <w:tc>
          <w:tcPr>
            <w:tcW w:type="dxa" w:w="1440"/>
          </w:tcPr>
          <w:p>
            <w:r>
              <w:t>No</w:t>
            </w:r>
          </w:p>
        </w:tc>
      </w:tr>
      <w:tr>
        <w:tc>
          <w:tcPr>
            <w:tcW w:type="dxa" w:w="1440"/>
          </w:tcPr>
          <w:p>
            <w:r>
              <w:t>Tool failure</w:t>
            </w:r>
          </w:p>
        </w:tc>
        <w:tc>
          <w:tcPr>
            <w:tcW w:type="dxa" w:w="1440"/>
          </w:tcPr>
          <w:p>
            <w:r>
              <w:t>`ToolError` raised</w:t>
            </w:r>
          </w:p>
        </w:tc>
        <w:tc>
          <w:tcPr>
            <w:tcW w:type="dxa" w:w="1440"/>
          </w:tcPr>
          <w:p>
            <w:r>
              <w:t>Re-plan (bounded by max\_iterations)</w:t>
            </w:r>
          </w:p>
        </w:tc>
        <w:tc>
          <w:tcPr>
            <w:tcW w:type="dxa" w:w="1440"/>
          </w:tcPr>
          <w:p>
            <w:r>
              <w:t>Reflected in Agent Activity trace</w:t>
            </w:r>
          </w:p>
        </w:tc>
        <w:tc>
          <w:tcPr>
            <w:tcW w:type="dxa" w:w="1440"/>
          </w:tcPr>
          <w:p>
            <w:r>
              <w:t>Tool name, truncated args, duration, outcome logged</w:t>
            </w:r>
          </w:p>
        </w:tc>
        <w:tc>
          <w:tcPr>
            <w:tcW w:type="dxa" w:w="1440"/>
          </w:tcPr>
          <w:p>
            <w:r>
              <w:t>Yes, bounded</w:t>
            </w:r>
          </w:p>
        </w:tc>
      </w:tr>
      <w:tr>
        <w:tc>
          <w:tcPr>
            <w:tcW w:type="dxa" w:w="1440"/>
          </w:tcPr>
          <w:p>
            <w:r>
              <w:t>Sandbox timeout</w:t>
            </w:r>
          </w:p>
        </w:tc>
        <w:tc>
          <w:tcPr>
            <w:tcW w:type="dxa" w:w="1440"/>
          </w:tcPr>
          <w:p>
            <w:r>
              <w:t>Wrapper `SIGKILL` at `timeout_s`</w:t>
            </w:r>
          </w:p>
        </w:tc>
        <w:tc>
          <w:tcPr>
            <w:tcW w:type="dxa" w:w="1440"/>
          </w:tcPr>
          <w:p>
            <w:r>
              <w:t>Result returned as `timed_out=true`</w:t>
            </w:r>
          </w:p>
        </w:tc>
        <w:tc>
          <w:tcPr>
            <w:tcW w:type="dxa" w:w="1440"/>
          </w:tcPr>
          <w:p>
            <w:r>
              <w:t>Shown as part of self-correction trace or task failure</w:t>
            </w:r>
          </w:p>
        </w:tc>
        <w:tc>
          <w:tcPr>
            <w:tcW w:type="dxa" w:w="1440"/>
          </w:tcPr>
          <w:p>
            <w:r>
              <w:t>Timeout event logged</w:t>
            </w:r>
          </w:p>
        </w:tc>
        <w:tc>
          <w:tcPr>
            <w:tcW w:type="dxa" w:w="1440"/>
          </w:tcPr>
          <w:p>
            <w:r>
              <w:t>Depends on iteration budget</w:t>
            </w:r>
          </w:p>
        </w:tc>
      </w:tr>
      <w:tr>
        <w:tc>
          <w:tcPr>
            <w:tcW w:type="dxa" w:w="1440"/>
          </w:tcPr>
          <w:p>
            <w:r>
              <w:t>Sandbox compilation/runtime error</w:t>
            </w:r>
          </w:p>
        </w:tc>
        <w:tc>
          <w:tcPr>
            <w:tcW w:type="dxa" w:w="1440"/>
          </w:tcPr>
          <w:p>
            <w:r>
              <w:t>Non-zero exit code</w:t>
            </w:r>
          </w:p>
        </w:tc>
        <w:tc>
          <w:tcPr>
            <w:tcW w:type="dxa" w:w="1440"/>
          </w:tcPr>
          <w:p>
            <w:r>
              <w:t>Re-plan (intended Flow 2 path)</w:t>
            </w:r>
          </w:p>
        </w:tc>
        <w:tc>
          <w:tcPr>
            <w:tcW w:type="dxa" w:w="1440"/>
          </w:tcPr>
          <w:p>
            <w:r>
              <w:t>Shown as part of self-correction trace</w:t>
            </w:r>
          </w:p>
        </w:tc>
        <w:tc>
          <w:tcPr>
            <w:tcW w:type="dxa" w:w="1440"/>
          </w:tcPr>
          <w:p>
            <w:r>
              <w:t>`TestFailure` structured object logged</w:t>
            </w:r>
          </w:p>
        </w:tc>
        <w:tc>
          <w:tcPr>
            <w:tcW w:type="dxa" w:w="1440"/>
          </w:tcPr>
          <w:p>
            <w:r>
              <w:t>Yes, bounded</w:t>
            </w:r>
          </w:p>
        </w:tc>
      </w:tr>
      <w:tr>
        <w:tc>
          <w:tcPr>
            <w:tcW w:type="dxa" w:w="1440"/>
          </w:tcPr>
          <w:p>
            <w:r>
              <w:t>Invalid generated artifact</w:t>
            </w:r>
          </w:p>
        </w:tc>
        <w:tc>
          <w:tcPr>
            <w:tcW w:type="dxa" w:w="1440"/>
          </w:tcPr>
          <w:p>
            <w:r>
              <w:t>Schema validation error before render</w:t>
            </w:r>
          </w:p>
        </w:tc>
        <w:tc>
          <w:tcPr>
            <w:tcW w:type="dxa" w:w="1440"/>
          </w:tcPr>
          <w:p>
            <w:r>
              <w:t>Re-plan once, then `failed_bounded`</w:t>
            </w:r>
          </w:p>
        </w:tc>
        <w:tc>
          <w:tcPr>
            <w:tcW w:type="dxa" w:w="1440"/>
          </w:tcPr>
          <w:p>
            <w:r>
              <w:t>"Couldn't generate the document — please retry."</w:t>
            </w:r>
          </w:p>
        </w:tc>
        <w:tc>
          <w:tcPr>
            <w:tcW w:type="dxa" w:w="1440"/>
          </w:tcPr>
          <w:p>
            <w:r>
              <w:t>Validation error logged</w:t>
            </w:r>
          </w:p>
        </w:tc>
        <w:tc>
          <w:tcPr>
            <w:tcW w:type="dxa" w:w="1440"/>
          </w:tcPr>
          <w:p>
            <w:r>
              <w:t>Once</w:t>
            </w:r>
          </w:p>
        </w:tc>
      </w:tr>
      <w:tr>
        <w:tc>
          <w:tcPr>
            <w:tcW w:type="dxa" w:w="1440"/>
          </w:tcPr>
          <w:p>
            <w:r>
              <w:t>Attempted external connection</w:t>
            </w:r>
          </w:p>
        </w:tc>
        <w:tc>
          <w:tcPr>
            <w:tcW w:type="dxa" w:w="1440"/>
          </w:tcPr>
          <w:p>
            <w:r>
              <w:t>Sovereignty Monitor classification = external/blocked</w:t>
            </w:r>
          </w:p>
        </w:tc>
        <w:tc>
          <w:tcPr>
            <w:tcW w:type="dxa" w:w="1440"/>
          </w:tcPr>
          <w:p>
            <w:r>
              <w:t>None automatic — demo-stopping event</w:t>
            </w:r>
          </w:p>
        </w:tc>
        <w:tc>
          <w:tcPr>
            <w:tcW w:type="dxa" w:w="1440"/>
          </w:tcPr>
          <w:p>
            <w:r>
              <w:t>Sovereignty Monitor turns red immediately</w:t>
            </w:r>
          </w:p>
        </w:tc>
        <w:tc>
          <w:tcPr>
            <w:tcW w:type="dxa" w:w="1440"/>
          </w:tcPr>
          <w:p>
            <w:r>
              <w:t>Event logged, never suppressed</w:t>
            </w:r>
          </w:p>
        </w:tc>
        <w:tc>
          <w:tcPr>
            <w:tcW w:type="dxa" w:w="1440"/>
          </w:tcPr>
          <w:p>
            <w:r>
              <w:t>No — investigate</w:t>
            </w:r>
          </w:p>
        </w:tc>
      </w:tr>
      <w:tr>
        <w:tc>
          <w:tcPr>
            <w:tcW w:type="dxa" w:w="1440"/>
          </w:tcPr>
          <w:p>
            <w:r>
              <w:t>Insufficient VRAM</w:t>
            </w:r>
          </w:p>
        </w:tc>
        <w:tc>
          <w:tcPr>
            <w:tcW w:type="dxa" w:w="1440"/>
          </w:tcPr>
          <w:p>
            <w:r>
              <w:t>Adapter load failure after unload retry</w:t>
            </w:r>
          </w:p>
        </w:tc>
        <w:tc>
          <w:tcPr>
            <w:tcW w:type="dxa" w:w="1440"/>
          </w:tcPr>
          <w:p>
            <w:r>
              <w:t>Single-model fallback mode (§15)</w:t>
            </w:r>
          </w:p>
        </w:tc>
        <w:tc>
          <w:tcPr>
            <w:tcW w:type="dxa" w:w="1440"/>
          </w:tcPr>
          <w:p>
            <w:r>
              <w:t>"Not enough GPU memory for this model."</w:t>
            </w:r>
          </w:p>
        </w:tc>
        <w:tc>
          <w:tcPr>
            <w:tcW w:type="dxa" w:w="1440"/>
          </w:tcPr>
          <w:p>
            <w:r>
              <w:t>Load failure logged</w:t>
            </w:r>
          </w:p>
        </w:tc>
        <w:tc>
          <w:tcPr>
            <w:tcW w:type="dxa" w:w="1440"/>
          </w:tcPr>
          <w:p>
            <w:r>
              <w:t>One retry, then fallback</w:t>
            </w:r>
          </w:p>
        </w:tc>
      </w:tr>
      <w:tr>
        <w:tc>
          <w:tcPr>
            <w:tcW w:type="dxa" w:w="1440"/>
          </w:tcPr>
          <w:p>
            <w:r>
              <w:t>Model loading failure (corrupt/incompatible)</w:t>
            </w:r>
          </w:p>
        </w:tc>
        <w:tc>
          <w:tcPr>
            <w:tcW w:type="dxa" w:w="1440"/>
          </w:tcPr>
          <w:p>
            <w:r>
              <w:t>`OllamaAdapter` raises `ModelLoadError`</w:t>
            </w:r>
          </w:p>
        </w:tc>
        <w:tc>
          <w:tcPr>
            <w:tcW w:type="dxa" w:w="1440"/>
          </w:tcPr>
          <w:p>
            <w:r>
              <w:t>Task status → failed</w:t>
            </w:r>
          </w:p>
        </w:tc>
        <w:tc>
          <w:tcPr>
            <w:tcW w:type="dxa" w:w="1440"/>
          </w:tcPr>
          <w:p>
            <w:r>
              <w:t>Message names the specific model</w:t>
            </w:r>
          </w:p>
        </w:tc>
        <w:tc>
          <w:tcPr>
            <w:tcW w:type="dxa" w:w="1440"/>
          </w:tcPr>
          <w:p>
            <w:r>
              <w:t>Error-level task\_event logged</w:t>
            </w:r>
          </w:p>
        </w:tc>
        <w:tc>
          <w:tcPr>
            <w:tcW w:type="dxa" w:w="1440"/>
          </w:tcPr>
          <w:p>
            <w:r>
              <w:t>No</w:t>
            </w:r>
          </w:p>
        </w:tc>
      </w:tr>
    </w:tbl>
    <w:p>
      <w:r>
        <w:t>Additional negative tests not itemized above but required by the source documents: Docker daemon unavailable (→ `ServiceUnavailable`, never host execution — see Section 8); missing/duplicate `model_id` in registry (→ startup error, fail fast); path-escape attempt in file tools (→ `PermissionError`, logged as a sovereignty-adjacent security event).</w:t>
      </w:r>
    </w:p>
    <w:p>
      <w:pPr>
        <w:pStyle w:val="Heading1"/>
      </w:pPr>
      <w:r>
        <w:t>16. Final Hackathon Acceptance Test</w:t>
      </w:r>
    </w:p>
    <w:p>
      <w:r>
        <w:t>A single, uninterrupted session (matching Phase 14/15 of IMPLEMENTATION\_PLAN.md) that:</w:t>
      </w:r>
    </w:p>
    <w:p>
      <w:r>
        <w:t>1. Starts from a clean `data/` directory.</w:t>
      </w:r>
    </w:p>
    <w:p>
      <w:r>
        <w:t>2. Runs the full setup sequence (TRD §29.1) through health checks.</w:t>
      </w:r>
    </w:p>
    <w:p>
      <w:r>
        <w:t>3. Executes Flow 1, Flow 2, Flow 3 consecutively without a backend restart.</w:t>
      </w:r>
    </w:p>
    <w:p>
      <w:r>
        <w:t>4. Confirms the Sovereignty Monitor remains all-green with zero external/blocked events throughout.</w:t>
      </w:r>
    </w:p>
    <w:p>
      <w:r>
        <w:t>5. Confirms every artifact produced opens/validates correctly.</w:t>
      </w:r>
    </w:p>
    <w:p>
      <w:r>
        <w:t>6. Optionally repeats the run with the network interface physically disconnected (air-gap rehearsal, TRD §29.1) and confirms identical results.</w:t>
      </w:r>
    </w:p>
    <w:p>
      <w:r>
        <w:t>Passing this test is the Definition of Done for demo readiness (IMPLEMENTATION\_PLAN.md Phase 16).</w:t>
      </w:r>
    </w:p>
    <w:p>
      <w:pPr>
        <w:pStyle w:val="Heading1"/>
      </w:pPr>
      <w:r>
        <w:t>P0 Requirement → Test Traceability</w:t>
      </w:r>
    </w:p>
    <w:p>
      <w:r>
        <w:t>Mirrors TRD §31 exactly (no requirement added, removed, or re-mapped):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PRD Requirement TRD Component Test ID Test Type Expected Result Evidence Demo Usage</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 Config-driven Model Registry + auto routing</w:t>
            </w:r>
          </w:p>
        </w:tc>
        <w:tc>
          <w:tcPr>
            <w:tcW w:type="dxa" w:w="1234"/>
          </w:tcPr>
          <w:p>
            <w:r>
              <w:t>Model Registry, Model Router (§13-14)</w:t>
            </w:r>
          </w:p>
        </w:tc>
        <w:tc>
          <w:tcPr>
            <w:tcW w:type="dxa" w:w="1234"/>
          </w:tcPr>
          <w:p>
            <w:r>
              <w:t>`tests/unit/test_router.py`</w:t>
            </w:r>
          </w:p>
        </w:tc>
        <w:tc>
          <w:tcPr>
            <w:tcW w:type="dxa" w:w="1234"/>
          </w:tcPr>
          <w:p>
            <w:r>
              <w:t>Unit</w:t>
            </w:r>
          </w:p>
        </w:tc>
        <w:tc>
          <w:tcPr>
            <w:tcW w:type="dxa" w:w="1234"/>
          </w:tcPr>
          <w:p>
            <w:r>
              <w:t>Deterministic model\_id per requirement</w:t>
            </w:r>
          </w:p>
        </w:tc>
        <w:tc>
          <w:tcPr>
            <w:tcW w:type="dxa" w:w="1234"/>
          </w:tcPr>
          <w:p>
            <w:r>
              <w:t>Test pass log</w:t>
            </w:r>
          </w:p>
        </w:tc>
        <w:tc>
          <w:tcPr>
            <w:tcW w:type="dxa" w:w="1234"/>
          </w:tcPr>
          <w:p>
            <w:r>
              <w:t>Demo Scene 6</w:t>
            </w:r>
          </w:p>
        </w:tc>
      </w:tr>
      <w:tr>
        <w:tc>
          <w:tcPr>
            <w:tcW w:type="dxa" w:w="1234"/>
          </w:tcPr>
          <w:p>
            <w:r>
              <w:t>2. New models addable via config only</w:t>
            </w:r>
          </w:p>
        </w:tc>
        <w:tc>
          <w:tcPr>
            <w:tcW w:type="dxa" w:w="1234"/>
          </w:tcPr>
          <w:p>
            <w:r>
              <w:t>Model Registry (§13)</w:t>
            </w:r>
          </w:p>
        </w:tc>
        <w:tc>
          <w:tcPr>
            <w:tcW w:type="dxa" w:w="1234"/>
          </w:tcPr>
          <w:p>
            <w:r>
              <w:t>`tests/unit/test_registry_load.py`</w:t>
            </w:r>
          </w:p>
        </w:tc>
        <w:tc>
          <w:tcPr>
            <w:tcW w:type="dxa" w:w="1234"/>
          </w:tcPr>
          <w:p>
            <w:r>
              <w:t>Unit</w:t>
            </w:r>
          </w:p>
        </w:tc>
        <w:tc>
          <w:tcPr>
            <w:tcW w:type="dxa" w:w="1234"/>
          </w:tcPr>
          <w:p>
            <w:r>
              <w:t>New YAML entry loads without code change</w:t>
            </w:r>
          </w:p>
        </w:tc>
        <w:tc>
          <w:tcPr>
            <w:tcW w:type="dxa" w:w="1234"/>
          </w:tcPr>
          <w:p>
            <w:r>
              <w:t>Test pass log</w:t>
            </w:r>
          </w:p>
        </w:tc>
        <w:tc>
          <w:tcPr>
            <w:tcW w:type="dxa" w:w="1234"/>
          </w:tcPr>
          <w:p>
            <w:r>
              <w:t>Add a model live, restart, appears in Routing page</w:t>
            </w:r>
          </w:p>
        </w:tc>
      </w:tr>
      <w:tr>
        <w:tc>
          <w:tcPr>
            <w:tcW w:type="dxa" w:w="1234"/>
          </w:tcPr>
          <w:p>
            <w:r>
              <w:t>3. Agentic planner (LangGraph, bounded loop)</w:t>
            </w:r>
          </w:p>
        </w:tc>
        <w:tc>
          <w:tcPr>
            <w:tcW w:type="dxa" w:w="1234"/>
          </w:tcPr>
          <w:p>
            <w:r>
              <w:t>Agent Architecture (§11)</w:t>
            </w:r>
          </w:p>
        </w:tc>
        <w:tc>
          <w:tcPr>
            <w:tcW w:type="dxa" w:w="1234"/>
          </w:tcPr>
          <w:p>
            <w:r>
              <w:t>`tests/integration/test_agent_tool.py`</w:t>
            </w:r>
          </w:p>
        </w:tc>
        <w:tc>
          <w:tcPr>
            <w:tcW w:type="dxa" w:w="1234"/>
          </w:tcPr>
          <w:p>
            <w:r>
              <w:t>Integration</w:t>
            </w:r>
          </w:p>
        </w:tc>
        <w:tc>
          <w:tcPr>
            <w:tcW w:type="dxa" w:w="1234"/>
          </w:tcPr>
          <w:p>
            <w:r>
              <w:t>Full node sequence executes and logs</w:t>
            </w:r>
          </w:p>
        </w:tc>
        <w:tc>
          <w:tcPr>
            <w:tcW w:type="dxa" w:w="1234"/>
          </w:tcPr>
          <w:p>
            <w:r>
              <w:t>Test pass log</w:t>
            </w:r>
          </w:p>
        </w:tc>
        <w:tc>
          <w:tcPr>
            <w:tcW w:type="dxa" w:w="1234"/>
          </w:tcPr>
          <w:p>
            <w:r>
              <w:t>Agent Activity trace during any flow</w:t>
            </w:r>
          </w:p>
        </w:tc>
      </w:tr>
      <w:tr>
        <w:tc>
          <w:tcPr>
            <w:tcW w:type="dxa" w:w="1234"/>
          </w:tcPr>
          <w:p>
            <w:r>
              <w:t>4. Tool layer with explicit permissions</w:t>
            </w:r>
          </w:p>
        </w:tc>
        <w:tc>
          <w:tcPr>
            <w:tcW w:type="dxa" w:w="1234"/>
          </w:tcPr>
          <w:p>
            <w:r>
              <w:t>Tool Architecture (§12)</w:t>
            </w:r>
          </w:p>
        </w:tc>
        <w:tc>
          <w:tcPr>
            <w:tcW w:type="dxa" w:w="1234"/>
          </w:tcPr>
          <w:p>
            <w:r>
              <w:t>`tests/unit/test_tool_permissions.py`</w:t>
            </w:r>
          </w:p>
        </w:tc>
        <w:tc>
          <w:tcPr>
            <w:tcW w:type="dxa" w:w="1234"/>
          </w:tcPr>
          <w:p>
            <w:r>
              <w:t>Unit</w:t>
            </w:r>
          </w:p>
        </w:tc>
        <w:tc>
          <w:tcPr>
            <w:tcW w:type="dxa" w:w="1234"/>
          </w:tcPr>
          <w:p>
            <w:r>
              <w:t>Disallowed tool for task\_type rejected</w:t>
            </w:r>
          </w:p>
        </w:tc>
        <w:tc>
          <w:tcPr>
            <w:tcW w:type="dxa" w:w="1234"/>
          </w:tcPr>
          <w:p>
            <w:r>
              <w:t>Test pass log</w:t>
            </w:r>
          </w:p>
        </w:tc>
        <w:tc>
          <w:tcPr>
            <w:tcW w:type="dxa" w:w="1234"/>
          </w:tcPr>
          <w:p>
            <w:r>
              <w:t>Tool-call events in Agent Activity</w:t>
            </w:r>
          </w:p>
        </w:tc>
      </w:tr>
      <w:tr>
        <w:tc>
          <w:tcPr>
            <w:tcW w:type="dxa" w:w="1234"/>
          </w:tcPr>
          <w:p>
            <w:r>
              <w:t>5. OCR pipeline, separate from vision</w:t>
            </w:r>
          </w:p>
        </w:tc>
        <w:tc>
          <w:tcPr>
            <w:tcW w:type="dxa" w:w="1234"/>
          </w:tcPr>
          <w:p>
            <w:r>
              <w:t>OCR Technical Design (§17)</w:t>
            </w:r>
          </w:p>
        </w:tc>
        <w:tc>
          <w:tcPr>
            <w:tcW w:type="dxa" w:w="1234"/>
          </w:tcPr>
          <w:p>
            <w:r>
              <w:t>`tests/integration/test_ocr_to_rag.py`</w:t>
            </w:r>
          </w:p>
        </w:tc>
        <w:tc>
          <w:tcPr>
            <w:tcW w:type="dxa" w:w="1234"/>
          </w:tcPr>
          <w:p>
            <w:r>
              <w:t>Integration</w:t>
            </w:r>
          </w:p>
        </w:tc>
        <w:tc>
          <w:tcPr>
            <w:tcW w:type="dxa" w:w="1234"/>
          </w:tcPr>
          <w:p>
            <w:r>
              <w:t>OCR output flows correctly into RAG ingestion</w:t>
            </w:r>
          </w:p>
        </w:tc>
        <w:tc>
          <w:tcPr>
            <w:tcW w:type="dxa" w:w="1234"/>
          </w:tcPr>
          <w:p>
            <w:r>
              <w:t>Test pass log</w:t>
            </w:r>
          </w:p>
        </w:tc>
        <w:tc>
          <w:tcPr>
            <w:tcW w:type="dxa" w:w="1234"/>
          </w:tcPr>
          <w:p>
            <w:r>
              <w:t>Flow 1 OCR step in trace</w:t>
            </w:r>
          </w:p>
        </w:tc>
      </w:tr>
      <w:tr>
        <w:tc>
          <w:tcPr>
            <w:tcW w:type="dxa" w:w="1234"/>
          </w:tcPr>
          <w:p>
            <w:r>
              <w:t>6. Local VLM, obs/interp/uncertainty labeling</w:t>
            </w:r>
          </w:p>
        </w:tc>
        <w:tc>
          <w:tcPr>
            <w:tcW w:type="dxa" w:w="1234"/>
          </w:tcPr>
          <w:p>
            <w:r>
              <w:t>Vision Technical Design (§18)</w:t>
            </w:r>
          </w:p>
        </w:tc>
        <w:tc>
          <w:tcPr>
            <w:tcW w:type="dxa" w:w="1234"/>
          </w:tcPr>
          <w:p>
            <w:r>
              <w:t>`tests/e2e/test_flow3.py`</w:t>
            </w:r>
          </w:p>
        </w:tc>
        <w:tc>
          <w:tcPr>
            <w:tcW w:type="dxa" w:w="1234"/>
          </w:tcPr>
          <w:p>
            <w:r>
              <w:t>E2E</w:t>
            </w:r>
          </w:p>
        </w:tc>
        <w:tc>
          <w:tcPr>
            <w:tcW w:type="dxa" w:w="1234"/>
          </w:tcPr>
          <w:p>
            <w:r>
              <w:t>Structured VisionResult, no certified-verdict claim</w:t>
            </w:r>
          </w:p>
        </w:tc>
        <w:tc>
          <w:tcPr>
            <w:tcW w:type="dxa" w:w="1234"/>
          </w:tcPr>
          <w:p>
            <w:r>
              <w:t>Test pass log</w:t>
            </w:r>
          </w:p>
        </w:tc>
        <w:tc>
          <w:tcPr>
            <w:tcW w:type="dxa" w:w="1234"/>
          </w:tcPr>
          <w:p>
            <w:r>
              <w:t>Flow 3 structured output in UI</w:t>
            </w:r>
          </w:p>
        </w:tc>
      </w:tr>
      <w:tr>
        <w:tc>
          <w:tcPr>
            <w:tcW w:type="dxa" w:w="1234"/>
          </w:tcPr>
          <w:p>
            <w:r>
              <w:t>7. Local RAG with source citations</w:t>
            </w:r>
          </w:p>
        </w:tc>
        <w:tc>
          <w:tcPr>
            <w:tcW w:type="dxa" w:w="1234"/>
          </w:tcPr>
          <w:p>
            <w:r>
              <w:t>RAG Technical Design (§16)</w:t>
            </w:r>
          </w:p>
        </w:tc>
        <w:tc>
          <w:tcPr>
            <w:tcW w:type="dxa" w:w="1234"/>
          </w:tcPr>
          <w:p>
            <w:r>
              <w:t>`tests/integration/test_rag_to_llm.py`</w:t>
            </w:r>
          </w:p>
        </w:tc>
        <w:tc>
          <w:tcPr>
            <w:tcW w:type="dxa" w:w="1234"/>
          </w:tcPr>
          <w:p>
            <w:r>
              <w:t>Integration</w:t>
            </w:r>
          </w:p>
        </w:tc>
        <w:tc>
          <w:tcPr>
            <w:tcW w:type="dxa" w:w="1234"/>
          </w:tcPr>
          <w:p>
            <w:r>
              <w:t>Citations attached to grounded answers</w:t>
            </w:r>
          </w:p>
        </w:tc>
        <w:tc>
          <w:tcPr>
            <w:tcW w:type="dxa" w:w="1234"/>
          </w:tcPr>
          <w:p>
            <w:r>
              <w:t>Test pass log</w:t>
            </w:r>
          </w:p>
        </w:tc>
        <w:tc>
          <w:tcPr>
            <w:tcW w:type="dxa" w:w="1234"/>
          </w:tcPr>
          <w:p>
            <w:r>
              <w:t>Citations shown on Flow 1 findings</w:t>
            </w:r>
          </w:p>
        </w:tc>
      </w:tr>
      <w:tr>
        <w:tc>
          <w:tcPr>
            <w:tcW w:type="dxa" w:w="1234"/>
          </w:tcPr>
          <w:p>
            <w:r>
              <w:t>8. Real deliverable generation</w:t>
            </w:r>
          </w:p>
        </w:tc>
        <w:tc>
          <w:tcPr>
            <w:tcW w:type="dxa" w:w="1234"/>
          </w:tcPr>
          <w:p>
            <w:r>
              <w:t>Document Generation (§22)</w:t>
            </w:r>
          </w:p>
        </w:tc>
        <w:tc>
          <w:tcPr>
            <w:tcW w:type="dxa" w:w="1234"/>
          </w:tcPr>
          <w:p>
            <w:r>
              <w:t>`tests/integration/test_agent_docx.py`</w:t>
            </w:r>
          </w:p>
        </w:tc>
        <w:tc>
          <w:tcPr>
            <w:tcW w:type="dxa" w:w="1234"/>
          </w:tcPr>
          <w:p>
            <w:r>
              <w:t>Integration</w:t>
            </w:r>
          </w:p>
        </w:tc>
        <w:tc>
          <w:tcPr>
            <w:tcW w:type="dxa" w:w="1234"/>
          </w:tcPr>
          <w:p>
            <w:r>
              <w:t>Valid DOCX with full ArtifactEnvelope</w:t>
            </w:r>
          </w:p>
        </w:tc>
        <w:tc>
          <w:tcPr>
            <w:tcW w:type="dxa" w:w="1234"/>
          </w:tcPr>
          <w:p>
            <w:r>
              <w:t>Test pass log + rendered PDF snapshot</w:t>
            </w:r>
          </w:p>
        </w:tc>
        <w:tc>
          <w:tcPr>
            <w:tcW w:type="dxa" w:w="1234"/>
          </w:tcPr>
          <w:p>
            <w:r>
              <w:t>Approval\_Note.docx opens in Word</w:t>
            </w:r>
          </w:p>
        </w:tc>
      </w:tr>
      <w:tr>
        <w:tc>
          <w:tcPr>
            <w:tcW w:type="dxa" w:w="1234"/>
          </w:tcPr>
          <w:p>
            <w:r>
              <w:t>9. Live sovereignty proof, real audit</w:t>
            </w:r>
          </w:p>
        </w:tc>
        <w:tc>
          <w:tcPr>
            <w:tcW w:type="dxa" w:w="1234"/>
          </w:tcPr>
          <w:p>
            <w:r>
              <w:t>Sovereignty Monitor (§24)</w:t>
            </w:r>
          </w:p>
        </w:tc>
        <w:tc>
          <w:tcPr>
            <w:tcW w:type="dxa" w:w="1234"/>
          </w:tcPr>
          <w:p>
            <w:r>
              <w:t>`tests/e2e/test_sovereignty.py`</w:t>
            </w:r>
          </w:p>
        </w:tc>
        <w:tc>
          <w:tcPr>
            <w:tcW w:type="dxa" w:w="1234"/>
          </w:tcPr>
          <w:p>
            <w:r>
              <w:t>E2E</w:t>
            </w:r>
          </w:p>
        </w:tc>
        <w:tc>
          <w:tcPr>
            <w:tcW w:type="dxa" w:w="1234"/>
          </w:tcPr>
          <w:p>
            <w:r>
              <w:t>Zero external calls across full run</w:t>
            </w:r>
          </w:p>
        </w:tc>
        <w:tc>
          <w:tcPr>
            <w:tcW w:type="dxa" w:w="1234"/>
          </w:tcPr>
          <w:p>
            <w:r>
              <w:t>Test pass log</w:t>
            </w:r>
          </w:p>
        </w:tc>
        <w:tc>
          <w:tcPr>
            <w:tcW w:type="dxa" w:w="1234"/>
          </w:tcPr>
          <w:p>
            <w:r>
              <w:t>Sovereignty Monitor page, zero external calls</w:t>
            </w:r>
          </w:p>
        </w:tc>
      </w:tr>
      <w:tr>
        <w:tc>
          <w:tcPr>
            <w:tcW w:type="dxa" w:w="1234"/>
          </w:tcPr>
          <w:p>
            <w:r>
              <w:t>10. Coding agent: gen → sandbox → test → self-correct</w:t>
            </w:r>
          </w:p>
        </w:tc>
        <w:tc>
          <w:tcPr>
            <w:tcW w:type="dxa" w:w="1234"/>
          </w:tcPr>
          <w:p>
            <w:r>
              <w:t>Hero Flow 2 (§20)</w:t>
            </w:r>
          </w:p>
        </w:tc>
        <w:tc>
          <w:tcPr>
            <w:tcW w:type="dxa" w:w="1234"/>
          </w:tcPr>
          <w:p>
            <w:r>
              <w:t>`tests/e2e/test_flow2.py`</w:t>
            </w:r>
          </w:p>
        </w:tc>
        <w:tc>
          <w:tcPr>
            <w:tcW w:type="dxa" w:w="1234"/>
          </w:tcPr>
          <w:p>
            <w:r>
              <w:t>E2E</w:t>
            </w:r>
          </w:p>
        </w:tc>
        <w:tc>
          <w:tcPr>
            <w:tcW w:type="dxa" w:w="1234"/>
          </w:tcPr>
          <w:p>
            <w:r>
              <w:t>Genuine detect → fix → re-verify, no scripted success</w:t>
            </w:r>
          </w:p>
        </w:tc>
        <w:tc>
          <w:tcPr>
            <w:tcW w:type="dxa" w:w="1234"/>
          </w:tcPr>
          <w:p>
            <w:r>
              <w:t>Test pass log</w:t>
            </w:r>
          </w:p>
        </w:tc>
        <w:tc>
          <w:tcPr>
            <w:tcW w:type="dxa" w:w="1234"/>
          </w:tcPr>
          <w:p>
            <w:r>
              <w:t>Live self-correction on injected failure</w:t>
            </w:r>
          </w:p>
        </w:tc>
      </w:tr>
      <w:tr>
        <w:tc>
          <w:tcPr>
            <w:tcW w:type="dxa" w:w="1234"/>
          </w:tcPr>
          <w:p>
            <w:r>
              <w:t>11. Hardware-aware model selection</w:t>
            </w:r>
          </w:p>
        </w:tc>
        <w:tc>
          <w:tcPr>
            <w:tcW w:type="dxa" w:w="1234"/>
          </w:tcPr>
          <w:p>
            <w:r>
              <w:t>Hardware-Aware Model Mgmt (§15)</w:t>
            </w:r>
          </w:p>
        </w:tc>
        <w:tc>
          <w:tcPr>
            <w:tcW w:type="dxa" w:w="1234"/>
          </w:tcPr>
          <w:p>
            <w:r>
              <w:t>`tests/unit/test_fallback_chain.py`</w:t>
            </w:r>
          </w:p>
        </w:tc>
        <w:tc>
          <w:tcPr>
            <w:tcW w:type="dxa" w:w="1234"/>
          </w:tcPr>
          <w:p>
            <w:r>
              <w:t>Unit</w:t>
            </w:r>
          </w:p>
        </w:tc>
        <w:tc>
          <w:tcPr>
            <w:tcW w:type="dxa" w:w="1234"/>
          </w:tcPr>
          <w:p>
            <w:r>
              <w:t>Fallback chain triggers correctly under constrained VRAM</w:t>
            </w:r>
          </w:p>
        </w:tc>
        <w:tc>
          <w:tcPr>
            <w:tcW w:type="dxa" w:w="1234"/>
          </w:tcPr>
          <w:p>
            <w:r>
              <w:t>Test pass log</w:t>
            </w:r>
          </w:p>
        </w:tc>
        <w:tc>
          <w:tcPr>
            <w:tcW w:type="dxa" w:w="1234"/>
          </w:tcPr>
          <w:p>
            <w:r>
              <w:t>Single-model fallback demo on constrained VRAM</w:t>
            </w:r>
          </w:p>
        </w:tc>
      </w:tr>
      <w:tr>
        <w:tc>
          <w:tcPr>
            <w:tcW w:type="dxa" w:w="1234"/>
          </w:tcPr>
          <w:p>
            <w:r>
              <w:t>12. Concise agent trace, no raw chain-of-thought</w:t>
            </w:r>
          </w:p>
        </w:tc>
        <w:tc>
          <w:tcPr>
            <w:tcW w:type="dxa" w:w="1234"/>
          </w:tcPr>
          <w:p>
            <w:r>
              <w:t>Frontend §7.5, Logging §25</w:t>
            </w:r>
          </w:p>
        </w:tc>
        <w:tc>
          <w:tcPr>
            <w:tcW w:type="dxa" w:w="1234"/>
          </w:tcPr>
          <w:p>
            <w:r>
              <w:t>`tests/unit/test_event_whitelist.py`</w:t>
            </w:r>
          </w:p>
        </w:tc>
        <w:tc>
          <w:tcPr>
            <w:tcW w:type="dxa" w:w="1234"/>
          </w:tcPr>
          <w:p>
            <w:r>
              <w:t>Unit</w:t>
            </w:r>
          </w:p>
        </w:tc>
        <w:tc>
          <w:tcPr>
            <w:tcW w:type="dxa" w:w="1234"/>
          </w:tcPr>
          <w:p>
            <w:r>
              <w:t>Only whitelisted event types reach the frontend</w:t>
            </w:r>
          </w:p>
        </w:tc>
        <w:tc>
          <w:tcPr>
            <w:tcW w:type="dxa" w:w="1234"/>
          </w:tcPr>
          <w:p>
            <w:r>
              <w:t>Test pass log</w:t>
            </w:r>
          </w:p>
        </w:tc>
        <w:tc>
          <w:tcPr>
            <w:tcW w:type="dxa" w:w="1234"/>
          </w:tcPr>
          <w:p>
            <w:r>
              <w:t>Agent Activity view during any flow</w:t>
            </w:r>
          </w:p>
        </w:tc>
      </w:tr>
    </w:tbl>
    <w:p>
      <w:pPr>
        <w:pStyle w:val="Heading1"/>
      </w:pPr>
      <w:r>
        <w:t>Final Acceptance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 Pass/Fail Evidence Demo Proof</w:t>
            </w:r>
          </w:p>
        </w:tc>
        <w:tc>
          <w:tcPr>
            <w:tcW w:type="dxa" w:w="2160"/>
          </w:tcPr>
          <w:p>
            <w:r/>
          </w:p>
        </w:tc>
        <w:tc>
          <w:tcPr>
            <w:tcW w:type="dxa" w:w="2160"/>
          </w:tcPr>
          <w:p>
            <w:r/>
          </w:p>
        </w:tc>
        <w:tc>
          <w:tcPr>
            <w:tcW w:type="dxa" w:w="2160"/>
          </w:tcPr>
          <w:p>
            <w:r/>
          </w:p>
        </w:tc>
      </w:tr>
      <w:tr>
        <w:tc>
          <w:tcPr>
            <w:tcW w:type="dxa" w:w="2160"/>
          </w:tcPr>
          <w:p>
            <w:r>
              <w:t>Flow 1 completes end-to-end, zero manual intervention (PRD Success Metric #1)</w:t>
            </w:r>
          </w:p>
        </w:tc>
        <w:tc>
          <w:tcPr>
            <w:tcW w:type="dxa" w:w="2160"/>
          </w:tcPr>
          <w:p>
            <w:r>
              <w:t>*To be recorded at test-run time*</w:t>
            </w:r>
          </w:p>
        </w:tc>
        <w:tc>
          <w:tcPr>
            <w:tcW w:type="dxa" w:w="2160"/>
          </w:tcPr>
          <w:p>
            <w:r>
              <w:t>`tests/e2e/test_flow1.py` result</w:t>
            </w:r>
          </w:p>
        </w:tc>
        <w:tc>
          <w:tcPr>
            <w:tcW w:type="dxa" w:w="2160"/>
          </w:tcPr>
          <w:p>
            <w:r>
              <w:t>Live Flow 1 run</w:t>
            </w:r>
          </w:p>
        </w:tc>
      </w:tr>
      <w:tr>
        <w:tc>
          <w:tcPr>
            <w:tcW w:type="dxa" w:w="2160"/>
          </w:tcPr>
          <w:p>
            <w:r>
              <w:t>Coding Agent recovers from ≥1 injected failure (Success Metric #2)</w:t>
            </w:r>
          </w:p>
        </w:tc>
        <w:tc>
          <w:tcPr>
            <w:tcW w:type="dxa" w:w="2160"/>
          </w:tcPr>
          <w:p>
            <w:r>
              <w:t>*To be recorded at test-run time*</w:t>
            </w:r>
          </w:p>
        </w:tc>
        <w:tc>
          <w:tcPr>
            <w:tcW w:type="dxa" w:w="2160"/>
          </w:tcPr>
          <w:p>
            <w:r>
              <w:t>`tests/e2e/test_flow2.py` result</w:t>
            </w:r>
          </w:p>
        </w:tc>
        <w:tc>
          <w:tcPr>
            <w:tcW w:type="dxa" w:w="2160"/>
          </w:tcPr>
          <w:p>
            <w:r>
              <w:t>Live Flow 2 run</w:t>
            </w:r>
          </w:p>
        </w:tc>
      </w:tr>
      <w:tr>
        <w:tc>
          <w:tcPr>
            <w:tcW w:type="dxa" w:w="2160"/>
          </w:tcPr>
          <w:p>
            <w:r>
              <w:t>Flow 3 produces structured, labeled observations (Success Metric #3)</w:t>
            </w:r>
          </w:p>
        </w:tc>
        <w:tc>
          <w:tcPr>
            <w:tcW w:type="dxa" w:w="2160"/>
          </w:tcPr>
          <w:p>
            <w:r>
              <w:t>*To be recorded at test-run time*</w:t>
            </w:r>
          </w:p>
        </w:tc>
        <w:tc>
          <w:tcPr>
            <w:tcW w:type="dxa" w:w="2160"/>
          </w:tcPr>
          <w:p>
            <w:r>
              <w:t>`tests/e2e/test_flow3.py` result</w:t>
            </w:r>
          </w:p>
        </w:tc>
        <w:tc>
          <w:tcPr>
            <w:tcW w:type="dxa" w:w="2160"/>
          </w:tcPr>
          <w:p>
            <w:r>
              <w:t>Live Flow 3 run</w:t>
            </w:r>
          </w:p>
        </w:tc>
      </w:tr>
      <w:tr>
        <w:tc>
          <w:tcPr>
            <w:tcW w:type="dxa" w:w="2160"/>
          </w:tcPr>
          <w:p>
            <w:r>
              <w:t>Router visibly selects ≥2 different models on request (Success Metric #4)</w:t>
            </w:r>
          </w:p>
        </w:tc>
        <w:tc>
          <w:tcPr>
            <w:tcW w:type="dxa" w:w="2160"/>
          </w:tcPr>
          <w:p>
            <w:r>
              <w:t>*To be recorded at test-run time*</w:t>
            </w:r>
          </w:p>
        </w:tc>
        <w:tc>
          <w:tcPr>
            <w:tcW w:type="dxa" w:w="2160"/>
          </w:tcPr>
          <w:p>
            <w:r>
              <w:t>`tests/unit/test_router.py` + Routing page screenshot</w:t>
            </w:r>
          </w:p>
        </w:tc>
        <w:tc>
          <w:tcPr>
            <w:tcW w:type="dxa" w:w="2160"/>
          </w:tcPr>
          <w:p>
            <w:r>
              <w:t>Demo Scene 6</w:t>
            </w:r>
          </w:p>
        </w:tc>
      </w:tr>
      <w:tr>
        <w:tc>
          <w:tcPr>
            <w:tcW w:type="dxa" w:w="2160"/>
          </w:tcPr>
          <w:p>
            <w:r>
              <w:t>Zero external AI/API calls throughout full demo (Success Metric #5)</w:t>
            </w:r>
          </w:p>
        </w:tc>
        <w:tc>
          <w:tcPr>
            <w:tcW w:type="dxa" w:w="2160"/>
          </w:tcPr>
          <w:p>
            <w:r>
              <w:t>*To be recorded at test-run time*</w:t>
            </w:r>
          </w:p>
        </w:tc>
        <w:tc>
          <w:tcPr>
            <w:tcW w:type="dxa" w:w="2160"/>
          </w:tcPr>
          <w:p>
            <w:r>
              <w:t>`tests/e2e/test_sovereignty.py` result</w:t>
            </w:r>
          </w:p>
        </w:tc>
        <w:tc>
          <w:tcPr>
            <w:tcW w:type="dxa" w:w="2160"/>
          </w:tcPr>
          <w:p>
            <w:r>
              <w:t>Demo Scene 7, live counters</w:t>
            </w:r>
          </w:p>
        </w:tc>
      </w:tr>
      <w:tr>
        <w:tc>
          <w:tcPr>
            <w:tcW w:type="dxa" w:w="2160"/>
          </w:tcPr>
          <w:p>
            <w:r>
              <w:t>Approval\_Note.docx opens correctly and is usable (Success Metric #6)</w:t>
            </w:r>
          </w:p>
        </w:tc>
        <w:tc>
          <w:tcPr>
            <w:tcW w:type="dxa" w:w="2160"/>
          </w:tcPr>
          <w:p>
            <w:r>
              <w:t>*To be recorded at test-run time*</w:t>
            </w:r>
          </w:p>
        </w:tc>
        <w:tc>
          <w:tcPr>
            <w:tcW w:type="dxa" w:w="2160"/>
          </w:tcPr>
          <w:p>
            <w:r>
              <w:t>Rendered PDF snapshot from docx skill verification</w:t>
            </w:r>
          </w:p>
        </w:tc>
        <w:tc>
          <w:tcPr>
            <w:tcW w:type="dxa" w:w="2160"/>
          </w:tcPr>
          <w:p>
            <w:r>
              <w:t>Artifact download during Scene 3</w:t>
            </w:r>
          </w:p>
        </w:tc>
      </w:tr>
      <w:tr>
        <w:tc>
          <w:tcPr>
            <w:tcW w:type="dxa" w:w="2160"/>
          </w:tcPr>
          <w:p>
            <w:r>
              <w:t>All three flows execute within practical demo time on venue hardware (Success Metric #7)</w:t>
            </w:r>
          </w:p>
        </w:tc>
        <w:tc>
          <w:tcPr>
            <w:tcW w:type="dxa" w:w="2160"/>
          </w:tcPr>
          <w:p>
            <w:r>
              <w:t>*To be recorded at test-run time*</w:t>
            </w:r>
          </w:p>
        </w:tc>
        <w:tc>
          <w:tcPr>
            <w:tcW w:type="dxa" w:w="2160"/>
          </w:tcPr>
          <w:p>
            <w:r>
              <w:t>Performance test timing log (Section 12)</w:t>
            </w:r>
          </w:p>
        </w:tc>
        <w:tc>
          <w:tcPr>
            <w:tcW w:type="dxa" w:w="2160"/>
          </w:tcPr>
          <w:p>
            <w:r>
              <w:t>Full demo timing during rehearsal</w:t>
            </w:r>
          </w:p>
        </w:tc>
      </w:tr>
    </w:tbl>
    <w:p>
      <w:r>
        <w:t>Note on this matrix's Pass/Fail column: Per the source instructions, this document does not invent test results. Each row is filled in at the time the corresponding test is actually executed against a real build; a document generated before implementation exists correctly leaves this column open rather than asserting an unverified pass.</w:t>
      </w:r>
    </w:p>
    <w:p>
      <w:r>
        <w:rPr>
          <w:b/>
        </w:rPr>
        <w:t xml:space="preserve">FINAL STATUS: </w:t>
      </w:r>
      <w:r>
        <w:t>Test &amp; Validation Plan v1.1 — node-count consistency corrected and ready to freeze. No PRD/TRD scope or architecture was 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