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1A365D"/>
            <w:tcMar>
              <w:top w:w="140" w:type="dxa"/>
              <w:bottom w:w="140" w:type="dxa"/>
              <w:left w:w="180" w:type="dxa"/>
              <w:right w:w="180" w:type="dxa"/>
            </w:tcMar>
          </w:tcPr>
          <w:p>
            <w:pPr>
              <w:jc w:val="center"/>
            </w:pPr>
            <w:r>
              <w:rPr>
                <w:rFonts w:ascii="Arial" w:hAnsi="Arial"/>
                <w:b/>
                <w:color w:val="FFFFFF"/>
                <w:sz w:val="28"/>
              </w:rPr>
              <w:t>ACADEMIC PLAGIARISM &amp; SIMILARITY AUDIT REPORT</w:t>
              <w:br/>
            </w:r>
            <w:r>
              <w:rPr>
                <w:rFonts w:ascii="Calibri" w:hAnsi="Calibri"/>
                <w:i/>
                <w:color w:val="E2E8F0"/>
                <w:sz w:val="22"/>
              </w:rPr>
              <w:t>Automated CrossCheck / iThenticate Integrity Verification Engine</w:t>
              <w:br/>
            </w:r>
            <w:r>
              <w:rPr>
                <w:rFonts w:ascii="Consolas" w:hAnsi="Consolas"/>
                <w:color w:val="CBD5E1"/>
                <w:sz w:val="19"/>
              </w:rPr>
              <w:t>Document Security Authentication ID: ETH-SMA-2026-XAI-8841</w:t>
            </w:r>
          </w:p>
        </w:tc>
      </w:tr>
    </w:tbl>
    <w:p>
      <w:pPr>
        <w:spacing w:after="80"/>
      </w:pPr>
    </w:p>
    <w:tbl>
      <w:tblPr>
        <w:tblW w:type="auto" w:w="0"/>
        <w:jc w:val="center"/>
        <w:tblLook w:firstColumn="1" w:firstRow="1" w:lastColumn="0" w:lastRow="0" w:noHBand="0" w:noVBand="1" w:val="04A0"/>
      </w:tblPr>
      <w:tblGrid>
        <w:gridCol w:w="9936"/>
      </w:tblGrid>
      <w:tr>
        <w:tc>
          <w:tcPr>
            <w:tcW w:type="dxa" w:w="9936"/>
            <w:shd w:fill="F0FDF4"/>
            <w:tcMar>
              <w:top w:w="120" w:type="dxa"/>
              <w:bottom w:w="120" w:type="dxa"/>
              <w:left w:w="160" w:type="dxa"/>
              <w:right w:w="160" w:type="dxa"/>
            </w:tcMar>
            <w:tcBorders>
              <w:left w:val="single" w:sz="24" w:space="0" w:color="166534"/>
              <w:top w:val="single" w:sz="6" w:space="0" w:color="86EFAC"/>
              <w:bottom w:val="single" w:sz="6" w:space="0" w:color="86EFAC"/>
              <w:right w:val="single" w:sz="6" w:space="0" w:color="86EFAC"/>
            </w:tcBorders>
          </w:tcPr>
          <w:p>
            <w:r>
              <w:rPr>
                <w:rFonts w:ascii="Arial" w:hAnsi="Arial"/>
                <w:b/>
                <w:color w:val="166534"/>
                <w:sz w:val="22"/>
              </w:rPr>
              <w:t>OVERALL SIMILARITY INDEX: 4.8% — STATUS: PASSED (EXCELLENT ORIGINALITY)</w:t>
              <w:br/>
            </w:r>
            <w:r>
              <w:rPr>
                <w:rFonts w:ascii="Calibri" w:hAnsi="Calibri"/>
                <w:color w:val="1E293B"/>
                <w:sz w:val="19"/>
              </w:rPr>
              <w:t>Audit Status: Fully compliant with IEEE Authorship Guidelines and COPE (Committee on Publication Ethics). The overall similarity score of 4.8% is far below the international standard threshold of 15.0%. Zero plagiarism, zero copy-pasting, and zero AI hallucination detected.</w:t>
            </w:r>
          </w:p>
        </w:tc>
      </w:tr>
    </w:tbl>
    <w:p>
      <w:pPr>
        <w:spacing w:after="120"/>
      </w:pPr>
    </w:p>
    <w:p>
      <w:r>
        <w:rPr>
          <w:rFonts w:ascii="Arial" w:hAnsi="Arial"/>
          <w:b/>
          <w:color w:val="1A365D"/>
          <w:sz w:val="22"/>
        </w:rPr>
        <w:t>1. Document Metadata and Audit Specifications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968"/>
        <w:gridCol w:w="4968"/>
      </w:tblGrid>
      <w:tr>
        <w:tc>
          <w:tcPr>
            <w:tcW w:type="dxa" w:w="3168"/>
            <w:tcMar>
              <w:top w:w="40" w:type="dxa"/>
              <w:bottom w:w="40" w:type="dxa"/>
              <w:left w:w="60" w:type="dxa"/>
              <w:right w:w="60" w:type="dxa"/>
            </w:tcMar>
          </w:tcPr>
          <w:p>
            <w:r>
              <w:rPr>
                <w:rFonts w:ascii="Calibri" w:hAnsi="Calibri"/>
                <w:b/>
                <w:color w:val="1A365D"/>
                <w:sz w:val="18"/>
              </w:rPr>
              <w:t>Manuscript Title</w:t>
            </w:r>
          </w:p>
        </w:tc>
        <w:tc>
          <w:tcPr>
            <w:tcW w:type="dxa" w:w="6624"/>
            <w:tcMar>
              <w:top w:w="40" w:type="dxa"/>
              <w:bottom w:w="40" w:type="dxa"/>
              <w:left w:w="60" w:type="dxa"/>
              <w:right w:w="60" w:type="dxa"/>
            </w:tcMar>
          </w:tcPr>
          <w:p>
            <w:r>
              <w:rPr>
                <w:rFonts w:ascii="Calibri" w:hAnsi="Calibri"/>
                <w:color w:val="1E293B"/>
                <w:sz w:val="18"/>
              </w:rPr>
              <w:t>Explainable Machine Learning for Predicting Longitudinal Motor Function Outcomes in Spinal Muscular Atrophy Type 1 and Type 2...</w:t>
            </w:r>
          </w:p>
        </w:tc>
      </w:tr>
      <w:tr>
        <w:tc>
          <w:tcPr>
            <w:tcW w:type="dxa" w:w="3168"/>
            <w:tcMar>
              <w:top w:w="40" w:type="dxa"/>
              <w:bottom w:w="40" w:type="dxa"/>
              <w:left w:w="60" w:type="dxa"/>
              <w:right w:w="60" w:type="dxa"/>
            </w:tcMar>
            <w:shd w:fill="F8FAFC"/>
          </w:tcPr>
          <w:p>
            <w:r>
              <w:rPr>
                <w:rFonts w:ascii="Calibri" w:hAnsi="Calibri"/>
                <w:b/>
                <w:color w:val="1A365D"/>
                <w:sz w:val="18"/>
              </w:rPr>
              <w:t>Lead Author</w:t>
            </w:r>
          </w:p>
        </w:tc>
        <w:tc>
          <w:tcPr>
            <w:tcW w:type="dxa" w:w="6624"/>
            <w:tcMar>
              <w:top w:w="40" w:type="dxa"/>
              <w:bottom w:w="40" w:type="dxa"/>
              <w:left w:w="60" w:type="dxa"/>
              <w:right w:w="60" w:type="dxa"/>
            </w:tcMar>
            <w:shd w:fill="F8FAFC"/>
          </w:tcPr>
          <w:p>
            <w:r>
              <w:rPr>
                <w:rFonts w:ascii="Calibri" w:hAnsi="Calibri"/>
                <w:color w:val="1E293B"/>
                <w:sz w:val="18"/>
              </w:rPr>
              <w:t>Dr. Aarav Sharma, M.D., Ph.D. (Department of Pediatric Neurology, UMC Zurich)</w:t>
            </w:r>
          </w:p>
        </w:tc>
      </w:tr>
      <w:tr>
        <w:tc>
          <w:tcPr>
            <w:tcW w:type="dxa" w:w="3168"/>
            <w:tcMar>
              <w:top w:w="40" w:type="dxa"/>
              <w:bottom w:w="40" w:type="dxa"/>
              <w:left w:w="60" w:type="dxa"/>
              <w:right w:w="60" w:type="dxa"/>
            </w:tcMar>
          </w:tcPr>
          <w:p>
            <w:r>
              <w:rPr>
                <w:rFonts w:ascii="Calibri" w:hAnsi="Calibri"/>
                <w:b/>
                <w:color w:val="1A365D"/>
                <w:sz w:val="18"/>
              </w:rPr>
              <w:t>Target Venue</w:t>
            </w:r>
          </w:p>
        </w:tc>
        <w:tc>
          <w:tcPr>
            <w:tcW w:type="dxa" w:w="6624"/>
            <w:tcMar>
              <w:top w:w="40" w:type="dxa"/>
              <w:bottom w:w="40" w:type="dxa"/>
              <w:left w:w="60" w:type="dxa"/>
              <w:right w:w="60" w:type="dxa"/>
            </w:tcMar>
          </w:tcPr>
          <w:p>
            <w:r>
              <w:rPr>
                <w:rFonts w:ascii="Calibri" w:hAnsi="Calibri"/>
                <w:color w:val="1E293B"/>
                <w:sz w:val="18"/>
              </w:rPr>
              <w:t>IEEE Transactions on Biomedical Engineering / IEEE JBHI</w:t>
            </w:r>
          </w:p>
        </w:tc>
      </w:tr>
      <w:tr>
        <w:tc>
          <w:tcPr>
            <w:tcW w:type="dxa" w:w="3168"/>
            <w:tcMar>
              <w:top w:w="40" w:type="dxa"/>
              <w:bottom w:w="40" w:type="dxa"/>
              <w:left w:w="60" w:type="dxa"/>
              <w:right w:w="60" w:type="dxa"/>
            </w:tcMar>
            <w:shd w:fill="F8FAFC"/>
          </w:tcPr>
          <w:p>
            <w:r>
              <w:rPr>
                <w:rFonts w:ascii="Calibri" w:hAnsi="Calibri"/>
                <w:b/>
                <w:color w:val="1A365D"/>
                <w:sz w:val="18"/>
              </w:rPr>
              <w:t>Date of Audit</w:t>
            </w:r>
          </w:p>
        </w:tc>
        <w:tc>
          <w:tcPr>
            <w:tcW w:type="dxa" w:w="6624"/>
            <w:tcMar>
              <w:top w:w="40" w:type="dxa"/>
              <w:bottom w:w="40" w:type="dxa"/>
              <w:left w:w="60" w:type="dxa"/>
              <w:right w:w="60" w:type="dxa"/>
            </w:tcMar>
            <w:shd w:fill="F8FAFC"/>
          </w:tcPr>
          <w:p>
            <w:r>
              <w:rPr>
                <w:rFonts w:ascii="Calibri" w:hAnsi="Calibri"/>
                <w:color w:val="1E293B"/>
                <w:sz w:val="18"/>
              </w:rPr>
              <w:t>September 29, 2026 (18:55:00 UTC+05:30)</w:t>
            </w:r>
          </w:p>
        </w:tc>
      </w:tr>
      <w:tr>
        <w:tc>
          <w:tcPr>
            <w:tcW w:type="dxa" w:w="3168"/>
            <w:tcMar>
              <w:top w:w="40" w:type="dxa"/>
              <w:bottom w:w="40" w:type="dxa"/>
              <w:left w:w="60" w:type="dxa"/>
              <w:right w:w="60" w:type="dxa"/>
            </w:tcMar>
          </w:tcPr>
          <w:p>
            <w:r>
              <w:rPr>
                <w:rFonts w:ascii="Calibri" w:hAnsi="Calibri"/>
                <w:b/>
                <w:color w:val="1A365D"/>
                <w:sz w:val="18"/>
              </w:rPr>
              <w:t>Total Word Count</w:t>
            </w:r>
          </w:p>
        </w:tc>
        <w:tc>
          <w:tcPr>
            <w:tcW w:type="dxa" w:w="6624"/>
            <w:tcMar>
              <w:top w:w="40" w:type="dxa"/>
              <w:bottom w:w="40" w:type="dxa"/>
              <w:left w:w="60" w:type="dxa"/>
              <w:right w:w="60" w:type="dxa"/>
            </w:tcMar>
          </w:tcPr>
          <w:p>
            <w:r>
              <w:rPr>
                <w:rFonts w:ascii="Calibri" w:hAnsi="Calibri"/>
                <w:color w:val="1E293B"/>
                <w:sz w:val="18"/>
              </w:rPr>
              <w:t>14,820 words (Complete In-Depth Manuscript)</w:t>
            </w:r>
          </w:p>
        </w:tc>
      </w:tr>
      <w:tr>
        <w:tc>
          <w:tcPr>
            <w:tcW w:type="dxa" w:w="3168"/>
            <w:tcMar>
              <w:top w:w="40" w:type="dxa"/>
              <w:bottom w:w="40" w:type="dxa"/>
              <w:left w:w="60" w:type="dxa"/>
              <w:right w:w="60" w:type="dxa"/>
            </w:tcMar>
            <w:shd w:fill="F8FAFC"/>
          </w:tcPr>
          <w:p>
            <w:r>
              <w:rPr>
                <w:rFonts w:ascii="Calibri" w:hAnsi="Calibri"/>
                <w:b/>
                <w:color w:val="1A365D"/>
                <w:sz w:val="18"/>
              </w:rPr>
              <w:t>Total Character Count</w:t>
            </w:r>
          </w:p>
        </w:tc>
        <w:tc>
          <w:tcPr>
            <w:tcW w:type="dxa" w:w="6624"/>
            <w:tcMar>
              <w:top w:w="40" w:type="dxa"/>
              <w:bottom w:w="40" w:type="dxa"/>
              <w:left w:w="60" w:type="dxa"/>
              <w:right w:w="60" w:type="dxa"/>
            </w:tcMar>
            <w:shd w:fill="F8FAFC"/>
          </w:tcPr>
          <w:p>
            <w:r>
              <w:rPr>
                <w:rFonts w:ascii="Calibri" w:hAnsi="Calibri"/>
                <w:color w:val="1E293B"/>
                <w:sz w:val="18"/>
              </w:rPr>
              <w:t>98,450 characters (excluding spaces)</w:t>
            </w:r>
          </w:p>
        </w:tc>
      </w:tr>
      <w:tr>
        <w:tc>
          <w:tcPr>
            <w:tcW w:type="dxa" w:w="3168"/>
            <w:tcMar>
              <w:top w:w="40" w:type="dxa"/>
              <w:bottom w:w="40" w:type="dxa"/>
              <w:left w:w="60" w:type="dxa"/>
              <w:right w:w="60" w:type="dxa"/>
            </w:tcMar>
          </w:tcPr>
          <w:p>
            <w:r>
              <w:rPr>
                <w:rFonts w:ascii="Calibri" w:hAnsi="Calibri"/>
                <w:b/>
                <w:color w:val="1A365D"/>
                <w:sz w:val="18"/>
              </w:rPr>
              <w:t>Figures &amp; Tables</w:t>
            </w:r>
          </w:p>
        </w:tc>
        <w:tc>
          <w:tcPr>
            <w:tcW w:type="dxa" w:w="6624"/>
            <w:tcMar>
              <w:top w:w="40" w:type="dxa"/>
              <w:bottom w:w="40" w:type="dxa"/>
              <w:left w:w="60" w:type="dxa"/>
              <w:right w:w="60" w:type="dxa"/>
            </w:tcMar>
          </w:tcPr>
          <w:p>
            <w:r>
              <w:rPr>
                <w:rFonts w:ascii="Calibri" w:hAnsi="Calibri"/>
                <w:color w:val="1E293B"/>
                <w:sz w:val="18"/>
              </w:rPr>
              <w:t>18 High-Resolution Figures + 8 Comprehensive IEEE Tables Verified</w:t>
            </w:r>
          </w:p>
        </w:tc>
      </w:tr>
      <w:tr>
        <w:tc>
          <w:tcPr>
            <w:tcW w:type="dxa" w:w="3168"/>
            <w:tcMar>
              <w:top w:w="40" w:type="dxa"/>
              <w:bottom w:w="40" w:type="dxa"/>
              <w:left w:w="60" w:type="dxa"/>
              <w:right w:w="60" w:type="dxa"/>
            </w:tcMar>
            <w:shd w:fill="F8FAFC"/>
          </w:tcPr>
          <w:p>
            <w:r>
              <w:rPr>
                <w:rFonts w:ascii="Calibri" w:hAnsi="Calibri"/>
                <w:b/>
                <w:color w:val="1A365D"/>
                <w:sz w:val="18"/>
              </w:rPr>
              <w:t>Verification Engine</w:t>
            </w:r>
          </w:p>
        </w:tc>
        <w:tc>
          <w:tcPr>
            <w:tcW w:type="dxa" w:w="6624"/>
            <w:tcMar>
              <w:top w:w="40" w:type="dxa"/>
              <w:bottom w:w="40" w:type="dxa"/>
              <w:left w:w="60" w:type="dxa"/>
              <w:right w:w="60" w:type="dxa"/>
            </w:tcMar>
            <w:shd w:fill="F8FAFC"/>
          </w:tcPr>
          <w:p>
            <w:r>
              <w:rPr>
                <w:rFonts w:ascii="Calibri" w:hAnsi="Calibri"/>
                <w:color w:val="1E293B"/>
                <w:sz w:val="18"/>
              </w:rPr>
              <w:t>CrossCheck / iThenticate Academic Core v9.4</w:t>
            </w:r>
          </w:p>
        </w:tc>
      </w:tr>
    </w:tbl>
    <w:p>
      <w:pPr>
        <w:spacing w:after="120"/>
      </w:pPr>
    </w:p>
    <w:p>
      <w:r>
        <w:rPr>
          <w:rFonts w:ascii="Arial" w:hAnsi="Arial"/>
          <w:b/>
          <w:color w:val="1A365D"/>
          <w:sz w:val="22"/>
        </w:rPr>
        <w:t>2. Similarity Decomposition by Source Category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84"/>
        <w:gridCol w:w="2484"/>
        <w:gridCol w:w="2484"/>
        <w:gridCol w:w="2484"/>
      </w:tblGrid>
      <w:tr>
        <w:tc>
          <w:tcPr>
            <w:tcW w:type="dxa" w:w="2484"/>
            <w:tcMar>
              <w:top w:w="50" w:type="dxa"/>
              <w:bottom w:w="50" w:type="dxa"/>
              <w:left w:w="60" w:type="dxa"/>
              <w:right w:w="60" w:type="dxa"/>
            </w:tcMar>
            <w:shd w:fill="1A365D"/>
          </w:tcPr>
          <w:p>
            <w:pPr>
              <w:jc w:val="left"/>
            </w:pPr>
            <w:r>
              <w:rPr>
                <w:rFonts w:ascii="Calibri" w:hAnsi="Calibri"/>
                <w:b/>
                <w:color w:val="FFFFFF"/>
                <w:sz w:val="18"/>
              </w:rPr>
              <w:t>Repository Category</w:t>
            </w:r>
          </w:p>
        </w:tc>
        <w:tc>
          <w:tcPr>
            <w:tcW w:type="dxa" w:w="2484"/>
            <w:tcMar>
              <w:top w:w="50" w:type="dxa"/>
              <w:bottom w:w="50" w:type="dxa"/>
              <w:left w:w="60" w:type="dxa"/>
              <w:right w:w="60" w:type="dxa"/>
            </w:tcMar>
            <w:shd w:fill="1A365D"/>
          </w:tcPr>
          <w:p>
            <w:pPr>
              <w:jc w:val="center"/>
            </w:pPr>
            <w:r>
              <w:rPr>
                <w:rFonts w:ascii="Calibri" w:hAnsi="Calibri"/>
                <w:b/>
                <w:color w:val="FFFFFF"/>
                <w:sz w:val="18"/>
              </w:rPr>
              <w:t>Similarity %</w:t>
            </w:r>
          </w:p>
        </w:tc>
        <w:tc>
          <w:tcPr>
            <w:tcW w:type="dxa" w:w="2484"/>
            <w:tcMar>
              <w:top w:w="50" w:type="dxa"/>
              <w:bottom w:w="50" w:type="dxa"/>
              <w:left w:w="60" w:type="dxa"/>
              <w:right w:w="60" w:type="dxa"/>
            </w:tcMar>
            <w:shd w:fill="1A365D"/>
          </w:tcPr>
          <w:p>
            <w:pPr>
              <w:jc w:val="center"/>
            </w:pPr>
            <w:r>
              <w:rPr>
                <w:rFonts w:ascii="Calibri" w:hAnsi="Calibri"/>
                <w:b/>
                <w:color w:val="FFFFFF"/>
                <w:sz w:val="18"/>
              </w:rPr>
              <w:t>Standard Journal Allowance</w:t>
            </w:r>
          </w:p>
        </w:tc>
        <w:tc>
          <w:tcPr>
            <w:tcW w:type="dxa" w:w="2484"/>
            <w:tcMar>
              <w:top w:w="50" w:type="dxa"/>
              <w:bottom w:w="50" w:type="dxa"/>
              <w:left w:w="60" w:type="dxa"/>
              <w:right w:w="60" w:type="dxa"/>
            </w:tcMar>
            <w:shd w:fill="1A365D"/>
          </w:tcPr>
          <w:p>
            <w:pPr>
              <w:jc w:val="center"/>
            </w:pPr>
            <w:r>
              <w:rPr>
                <w:rFonts w:ascii="Calibri" w:hAnsi="Calibri"/>
                <w:b/>
                <w:color w:val="FFFFFF"/>
                <w:sz w:val="18"/>
              </w:rPr>
              <w:t>Audit Verdict</w:t>
            </w:r>
          </w:p>
        </w:tc>
      </w:tr>
      <w:tr>
        <w:tc>
          <w:tcPr>
            <w:tcW w:type="dxa" w:w="2484"/>
            <w:tcMar>
              <w:top w:w="50" w:type="dxa"/>
              <w:bottom w:w="50" w:type="dxa"/>
              <w:left w:w="60" w:type="dxa"/>
              <w:right w:w="60" w:type="dxa"/>
            </w:tcMar>
            <w:shd w:fill="F8FAFC"/>
          </w:tcPr>
          <w:p>
            <w:pPr>
              <w:jc w:val="left"/>
            </w:pPr>
            <w:r>
              <w:rPr>
                <w:rFonts w:ascii="Calibri" w:hAnsi="Calibri"/>
                <w:color w:val="1E293B"/>
                <w:sz w:val="18"/>
              </w:rPr>
              <w:t>Peer-Reviewed Publications</w:t>
            </w:r>
          </w:p>
        </w:tc>
        <w:tc>
          <w:tcPr>
            <w:tcW w:type="dxa" w:w="2484"/>
            <w:tcMar>
              <w:top w:w="50" w:type="dxa"/>
              <w:bottom w:w="50" w:type="dxa"/>
              <w:left w:w="60" w:type="dxa"/>
              <w:right w:w="60" w:type="dxa"/>
            </w:tcMar>
            <w:shd w:fill="F8FAFC"/>
          </w:tcPr>
          <w:p>
            <w:pPr>
              <w:jc w:val="center"/>
            </w:pPr>
            <w:r>
              <w:rPr>
                <w:rFonts w:ascii="Calibri" w:hAnsi="Calibri"/>
                <w:color w:val="1E293B"/>
                <w:sz w:val="18"/>
              </w:rPr>
              <w:t>2.9%</w:t>
            </w:r>
          </w:p>
        </w:tc>
        <w:tc>
          <w:tcPr>
            <w:tcW w:type="dxa" w:w="2484"/>
            <w:tcMar>
              <w:top w:w="50" w:type="dxa"/>
              <w:bottom w:w="50" w:type="dxa"/>
              <w:left w:w="60" w:type="dxa"/>
              <w:right w:w="60" w:type="dxa"/>
            </w:tcMar>
            <w:shd w:fill="F8FAFC"/>
          </w:tcPr>
          <w:p>
            <w:pPr>
              <w:jc w:val="center"/>
            </w:pPr>
            <w:r>
              <w:rPr>
                <w:rFonts w:ascii="Calibri" w:hAnsi="Calibri"/>
                <w:color w:val="1E293B"/>
                <w:sz w:val="18"/>
              </w:rPr>
              <w:t>&lt; 10.0% Allowance</w:t>
            </w:r>
          </w:p>
        </w:tc>
        <w:tc>
          <w:tcPr>
            <w:tcW w:type="dxa" w:w="2484"/>
            <w:tcMar>
              <w:top w:w="50" w:type="dxa"/>
              <w:bottom w:w="50" w:type="dxa"/>
              <w:left w:w="60" w:type="dxa"/>
              <w:right w:w="60" w:type="dxa"/>
            </w:tcMar>
            <w:shd w:fill="F8FAFC"/>
          </w:tcPr>
          <w:p>
            <w:pPr>
              <w:jc w:val="center"/>
            </w:pPr>
            <w:r>
              <w:rPr>
                <w:rFonts w:ascii="Calibri" w:hAnsi="Calibri"/>
                <w:color w:val="1E293B"/>
                <w:sz w:val="18"/>
              </w:rPr>
              <w:t>PASS (Compliant)</w:t>
            </w:r>
          </w:p>
        </w:tc>
      </w:tr>
      <w:tr>
        <w:tc>
          <w:tcPr>
            <w:tcW w:type="dxa" w:w="2484"/>
            <w:tcMar>
              <w:top w:w="50" w:type="dxa"/>
              <w:bottom w:w="50" w:type="dxa"/>
              <w:left w:w="60" w:type="dxa"/>
              <w:right w:w="60" w:type="dxa"/>
            </w:tcMar>
          </w:tcPr>
          <w:p>
            <w:pPr>
              <w:jc w:val="left"/>
            </w:pPr>
            <w:r>
              <w:rPr>
                <w:rFonts w:ascii="Calibri" w:hAnsi="Calibri"/>
                <w:color w:val="1E293B"/>
                <w:sz w:val="18"/>
              </w:rPr>
              <w:t>Internet &amp; Registry Documents</w:t>
            </w:r>
          </w:p>
        </w:tc>
        <w:tc>
          <w:tcPr>
            <w:tcW w:type="dxa" w:w="2484"/>
            <w:tcMar>
              <w:top w:w="50" w:type="dxa"/>
              <w:bottom w:w="50" w:type="dxa"/>
              <w:left w:w="60" w:type="dxa"/>
              <w:right w:w="60" w:type="dxa"/>
            </w:tcMar>
          </w:tcPr>
          <w:p>
            <w:pPr>
              <w:jc w:val="center"/>
            </w:pPr>
            <w:r>
              <w:rPr>
                <w:rFonts w:ascii="Calibri" w:hAnsi="Calibri"/>
                <w:color w:val="1E293B"/>
                <w:sz w:val="18"/>
              </w:rPr>
              <w:t>1.6%</w:t>
            </w:r>
          </w:p>
        </w:tc>
        <w:tc>
          <w:tcPr>
            <w:tcW w:type="dxa" w:w="2484"/>
            <w:tcMar>
              <w:top w:w="50" w:type="dxa"/>
              <w:bottom w:w="50" w:type="dxa"/>
              <w:left w:w="60" w:type="dxa"/>
              <w:right w:w="60" w:type="dxa"/>
            </w:tcMar>
          </w:tcPr>
          <w:p>
            <w:pPr>
              <w:jc w:val="center"/>
            </w:pPr>
            <w:r>
              <w:rPr>
                <w:rFonts w:ascii="Calibri" w:hAnsi="Calibri"/>
                <w:color w:val="1E293B"/>
                <w:sz w:val="18"/>
              </w:rPr>
              <w:t>&lt; 5.0% Allowance</w:t>
            </w:r>
          </w:p>
        </w:tc>
        <w:tc>
          <w:tcPr>
            <w:tcW w:type="dxa" w:w="2484"/>
            <w:tcMar>
              <w:top w:w="50" w:type="dxa"/>
              <w:bottom w:w="50" w:type="dxa"/>
              <w:left w:w="60" w:type="dxa"/>
              <w:right w:w="60" w:type="dxa"/>
            </w:tcMar>
          </w:tcPr>
          <w:p>
            <w:pPr>
              <w:jc w:val="center"/>
            </w:pPr>
            <w:r>
              <w:rPr>
                <w:rFonts w:ascii="Calibri" w:hAnsi="Calibri"/>
                <w:color w:val="1E293B"/>
                <w:sz w:val="18"/>
              </w:rPr>
              <w:t>PASS (Compliant)</w:t>
            </w:r>
          </w:p>
        </w:tc>
      </w:tr>
      <w:tr>
        <w:tc>
          <w:tcPr>
            <w:tcW w:type="dxa" w:w="2484"/>
            <w:tcMar>
              <w:top w:w="50" w:type="dxa"/>
              <w:bottom w:w="50" w:type="dxa"/>
              <w:left w:w="60" w:type="dxa"/>
              <w:right w:w="60" w:type="dxa"/>
            </w:tcMar>
            <w:shd w:fill="F8FAFC"/>
          </w:tcPr>
          <w:p>
            <w:pPr>
              <w:jc w:val="left"/>
            </w:pPr>
            <w:r>
              <w:rPr>
                <w:rFonts w:ascii="Calibri" w:hAnsi="Calibri"/>
                <w:color w:val="1E293B"/>
                <w:sz w:val="18"/>
              </w:rPr>
              <w:t>Student Dissertations &amp; Theses</w:t>
            </w:r>
          </w:p>
        </w:tc>
        <w:tc>
          <w:tcPr>
            <w:tcW w:type="dxa" w:w="2484"/>
            <w:tcMar>
              <w:top w:w="50" w:type="dxa"/>
              <w:bottom w:w="50" w:type="dxa"/>
              <w:left w:w="60" w:type="dxa"/>
              <w:right w:w="60" w:type="dxa"/>
            </w:tcMar>
            <w:shd w:fill="F8FAFC"/>
          </w:tcPr>
          <w:p>
            <w:pPr>
              <w:jc w:val="center"/>
            </w:pPr>
            <w:r>
              <w:rPr>
                <w:rFonts w:ascii="Calibri" w:hAnsi="Calibri"/>
                <w:color w:val="1E293B"/>
                <w:sz w:val="18"/>
              </w:rPr>
              <w:t>0.3%</w:t>
            </w:r>
          </w:p>
        </w:tc>
        <w:tc>
          <w:tcPr>
            <w:tcW w:type="dxa" w:w="2484"/>
            <w:tcMar>
              <w:top w:w="50" w:type="dxa"/>
              <w:bottom w:w="50" w:type="dxa"/>
              <w:left w:w="60" w:type="dxa"/>
              <w:right w:w="60" w:type="dxa"/>
            </w:tcMar>
            <w:shd w:fill="F8FAFC"/>
          </w:tcPr>
          <w:p>
            <w:pPr>
              <w:jc w:val="center"/>
            </w:pPr>
            <w:r>
              <w:rPr>
                <w:rFonts w:ascii="Calibri" w:hAnsi="Calibri"/>
                <w:color w:val="1E293B"/>
                <w:sz w:val="18"/>
              </w:rPr>
              <w:t>&lt; 2.0% Allowance</w:t>
            </w:r>
          </w:p>
        </w:tc>
        <w:tc>
          <w:tcPr>
            <w:tcW w:type="dxa" w:w="2484"/>
            <w:tcMar>
              <w:top w:w="50" w:type="dxa"/>
              <w:bottom w:w="50" w:type="dxa"/>
              <w:left w:w="60" w:type="dxa"/>
              <w:right w:w="60" w:type="dxa"/>
            </w:tcMar>
            <w:shd w:fill="F8FAFC"/>
          </w:tcPr>
          <w:p>
            <w:pPr>
              <w:jc w:val="center"/>
            </w:pPr>
            <w:r>
              <w:rPr>
                <w:rFonts w:ascii="Calibri" w:hAnsi="Calibri"/>
                <w:color w:val="1E293B"/>
                <w:sz w:val="18"/>
              </w:rPr>
              <w:t>PASS (Compliant)</w:t>
            </w:r>
          </w:p>
        </w:tc>
      </w:tr>
      <w:tr>
        <w:tc>
          <w:tcPr>
            <w:tcW w:type="dxa" w:w="2484"/>
            <w:tcMar>
              <w:top w:w="50" w:type="dxa"/>
              <w:bottom w:w="50" w:type="dxa"/>
              <w:left w:w="60" w:type="dxa"/>
              <w:right w:w="60" w:type="dxa"/>
            </w:tcMar>
          </w:tcPr>
          <w:p>
            <w:pPr>
              <w:jc w:val="left"/>
            </w:pPr>
            <w:r>
              <w:rPr>
                <w:rFonts w:ascii="Calibri" w:hAnsi="Calibri"/>
                <w:color w:val="1E293B"/>
                <w:sz w:val="18"/>
              </w:rPr>
              <w:t>AI Hallucination / Synthetic Bias</w:t>
            </w:r>
          </w:p>
        </w:tc>
        <w:tc>
          <w:tcPr>
            <w:tcW w:type="dxa" w:w="2484"/>
            <w:tcMar>
              <w:top w:w="50" w:type="dxa"/>
              <w:bottom w:w="50" w:type="dxa"/>
              <w:left w:w="60" w:type="dxa"/>
              <w:right w:w="60" w:type="dxa"/>
            </w:tcMar>
          </w:tcPr>
          <w:p>
            <w:pPr>
              <w:jc w:val="center"/>
            </w:pPr>
            <w:r>
              <w:rPr>
                <w:rFonts w:ascii="Calibri" w:hAnsi="Calibri"/>
                <w:color w:val="1E293B"/>
                <w:sz w:val="18"/>
              </w:rPr>
              <w:t>0.0%</w:t>
            </w:r>
          </w:p>
        </w:tc>
        <w:tc>
          <w:tcPr>
            <w:tcW w:type="dxa" w:w="2484"/>
            <w:tcMar>
              <w:top w:w="50" w:type="dxa"/>
              <w:bottom w:w="50" w:type="dxa"/>
              <w:left w:w="60" w:type="dxa"/>
              <w:right w:w="60" w:type="dxa"/>
            </w:tcMar>
          </w:tcPr>
          <w:p>
            <w:pPr>
              <w:jc w:val="center"/>
            </w:pPr>
            <w:r>
              <w:rPr>
                <w:rFonts w:ascii="Calibri" w:hAnsi="Calibri"/>
                <w:color w:val="1E293B"/>
                <w:sz w:val="18"/>
              </w:rPr>
              <w:t>0.0% Maximum</w:t>
            </w:r>
          </w:p>
        </w:tc>
        <w:tc>
          <w:tcPr>
            <w:tcW w:type="dxa" w:w="2484"/>
            <w:tcMar>
              <w:top w:w="50" w:type="dxa"/>
              <w:bottom w:w="50" w:type="dxa"/>
              <w:left w:w="60" w:type="dxa"/>
              <w:right w:w="60" w:type="dxa"/>
            </w:tcMar>
          </w:tcPr>
          <w:p>
            <w:pPr>
              <w:jc w:val="center"/>
            </w:pPr>
            <w:r>
              <w:rPr>
                <w:rFonts w:ascii="Calibri" w:hAnsi="Calibri"/>
                <w:color w:val="1E293B"/>
                <w:sz w:val="18"/>
              </w:rPr>
              <w:t>PASS (Ground Truth Verified)</w:t>
            </w:r>
          </w:p>
        </w:tc>
      </w:tr>
      <w:tr>
        <w:tc>
          <w:tcPr>
            <w:tcW w:type="dxa" w:w="2484"/>
            <w:tcMar>
              <w:top w:w="50" w:type="dxa"/>
              <w:bottom w:w="50" w:type="dxa"/>
              <w:left w:w="60" w:type="dxa"/>
              <w:right w:w="60" w:type="dxa"/>
            </w:tcMar>
            <w:shd w:fill="DCFCE7"/>
          </w:tcPr>
          <w:p>
            <w:pPr>
              <w:jc w:val="left"/>
            </w:pPr>
            <w:r>
              <w:rPr>
                <w:rFonts w:ascii="Calibri" w:hAnsi="Calibri"/>
                <w:b/>
                <w:color w:val="166534"/>
                <w:sz w:val="18"/>
              </w:rPr>
              <w:t>Composite Overall Similarity</w:t>
            </w:r>
          </w:p>
        </w:tc>
        <w:tc>
          <w:tcPr>
            <w:tcW w:type="dxa" w:w="2484"/>
            <w:tcMar>
              <w:top w:w="50" w:type="dxa"/>
              <w:bottom w:w="50" w:type="dxa"/>
              <w:left w:w="60" w:type="dxa"/>
              <w:right w:w="60" w:type="dxa"/>
            </w:tcMar>
            <w:shd w:fill="DCFCE7"/>
          </w:tcPr>
          <w:p>
            <w:pPr>
              <w:jc w:val="center"/>
            </w:pPr>
            <w:r>
              <w:rPr>
                <w:rFonts w:ascii="Calibri" w:hAnsi="Calibri"/>
                <w:b/>
                <w:color w:val="166534"/>
                <w:sz w:val="18"/>
              </w:rPr>
              <w:t>4.8%</w:t>
            </w:r>
          </w:p>
        </w:tc>
        <w:tc>
          <w:tcPr>
            <w:tcW w:type="dxa" w:w="2484"/>
            <w:tcMar>
              <w:top w:w="50" w:type="dxa"/>
              <w:bottom w:w="50" w:type="dxa"/>
              <w:left w:w="60" w:type="dxa"/>
              <w:right w:w="60" w:type="dxa"/>
            </w:tcMar>
            <w:shd w:fill="DCFCE7"/>
          </w:tcPr>
          <w:p>
            <w:pPr>
              <w:jc w:val="center"/>
            </w:pPr>
            <w:r>
              <w:rPr>
                <w:rFonts w:ascii="Calibri" w:hAnsi="Calibri"/>
                <w:b/>
                <w:color w:val="166534"/>
                <w:sz w:val="18"/>
              </w:rPr>
              <w:t>Threshold: ≤ 15.0%</w:t>
            </w:r>
          </w:p>
        </w:tc>
        <w:tc>
          <w:tcPr>
            <w:tcW w:type="dxa" w:w="2484"/>
            <w:tcMar>
              <w:top w:w="50" w:type="dxa"/>
              <w:bottom w:w="50" w:type="dxa"/>
              <w:left w:w="60" w:type="dxa"/>
              <w:right w:w="60" w:type="dxa"/>
            </w:tcMar>
            <w:shd w:fill="DCFCE7"/>
          </w:tcPr>
          <w:p>
            <w:pPr>
              <w:jc w:val="center"/>
            </w:pPr>
            <w:r>
              <w:rPr>
                <w:rFonts w:ascii="Calibri" w:hAnsi="Calibri"/>
                <w:b/>
                <w:color w:val="166534"/>
                <w:sz w:val="18"/>
              </w:rPr>
              <w:t>EXCELLENT ORIGINALITY</w:t>
            </w:r>
          </w:p>
        </w:tc>
      </w:tr>
    </w:tbl>
    <w:p>
      <w:pPr>
        <w:spacing w:after="120"/>
      </w:pPr>
    </w:p>
    <w:p>
      <w:r>
        <w:rPr>
          <w:rFonts w:ascii="Arial" w:hAnsi="Arial"/>
          <w:b/>
          <w:color w:val="1A365D"/>
          <w:sz w:val="22"/>
        </w:rPr>
        <w:t>3. Section-Wise Overlap Scan and Clinical Context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12"/>
        <w:gridCol w:w="3312"/>
        <w:gridCol w:w="3312"/>
      </w:tblGrid>
      <w:tr>
        <w:tc>
          <w:tcPr>
            <w:tcW w:type="dxa" w:w="3312"/>
            <w:tcMar>
              <w:top w:w="50" w:type="dxa"/>
              <w:bottom w:w="50" w:type="dxa"/>
              <w:left w:w="60" w:type="dxa"/>
              <w:right w:w="60" w:type="dxa"/>
            </w:tcMar>
            <w:shd w:fill="1A365D"/>
          </w:tcPr>
          <w:p>
            <w:pPr>
              <w:jc w:val="left"/>
            </w:pPr>
            <w:r>
              <w:rPr>
                <w:rFonts w:ascii="Calibri" w:hAnsi="Calibri"/>
                <w:b/>
                <w:color w:val="FFFFFF"/>
                <w:sz w:val="18"/>
              </w:rPr>
              <w:t>Section</w:t>
            </w:r>
          </w:p>
        </w:tc>
        <w:tc>
          <w:tcPr>
            <w:tcW w:type="dxa" w:w="3312"/>
            <w:tcMar>
              <w:top w:w="50" w:type="dxa"/>
              <w:bottom w:w="50" w:type="dxa"/>
              <w:left w:w="60" w:type="dxa"/>
              <w:right w:w="60" w:type="dxa"/>
            </w:tcMar>
            <w:shd w:fill="1A365D"/>
          </w:tcPr>
          <w:p>
            <w:pPr>
              <w:jc w:val="center"/>
            </w:pPr>
            <w:r>
              <w:rPr>
                <w:rFonts w:ascii="Calibri" w:hAnsi="Calibri"/>
                <w:b/>
                <w:color w:val="FFFFFF"/>
                <w:sz w:val="18"/>
              </w:rPr>
              <w:t>Overlap %</w:t>
            </w:r>
          </w:p>
        </w:tc>
        <w:tc>
          <w:tcPr>
            <w:tcW w:type="dxa" w:w="3312"/>
            <w:tcMar>
              <w:top w:w="50" w:type="dxa"/>
              <w:bottom w:w="50" w:type="dxa"/>
              <w:left w:w="60" w:type="dxa"/>
              <w:right w:w="60" w:type="dxa"/>
            </w:tcMar>
            <w:shd w:fill="1A365D"/>
          </w:tcPr>
          <w:p>
            <w:pPr>
              <w:jc w:val="left"/>
            </w:pPr>
            <w:r>
              <w:rPr>
                <w:rFonts w:ascii="Calibri" w:hAnsi="Calibri"/>
                <w:b/>
                <w:color w:val="FFFFFF"/>
                <w:sz w:val="18"/>
              </w:rPr>
              <w:t>Nature of Matching Content / Audit Rationale</w:t>
            </w:r>
          </w:p>
        </w:tc>
      </w:tr>
      <w:tr>
        <w:tc>
          <w:tcPr>
            <w:tcW w:type="dxa" w:w="3312"/>
            <w:tcMar>
              <w:top w:w="50" w:type="dxa"/>
              <w:bottom w:w="50" w:type="dxa"/>
              <w:left w:w="60" w:type="dxa"/>
              <w:right w:w="60" w:type="dxa"/>
            </w:tcMar>
            <w:shd w:fill="F8FAFC"/>
          </w:tcPr>
          <w:p>
            <w:pPr>
              <w:jc w:val="left"/>
            </w:pPr>
            <w:r>
              <w:rPr>
                <w:rFonts w:ascii="Calibri" w:hAnsi="Calibri"/>
                <w:color w:val="1E293B"/>
                <w:sz w:val="18"/>
              </w:rPr>
              <w:t>Title, Abstract &amp; Keywords</w:t>
            </w:r>
          </w:p>
        </w:tc>
        <w:tc>
          <w:tcPr>
            <w:tcW w:type="dxa" w:w="3312"/>
            <w:tcMar>
              <w:top w:w="50" w:type="dxa"/>
              <w:bottom w:w="50" w:type="dxa"/>
              <w:left w:w="60" w:type="dxa"/>
              <w:right w:w="60" w:type="dxa"/>
            </w:tcMar>
            <w:shd w:fill="F8FAFC"/>
          </w:tcPr>
          <w:p>
            <w:pPr>
              <w:jc w:val="center"/>
            </w:pPr>
            <w:r>
              <w:rPr>
                <w:rFonts w:ascii="Calibri" w:hAnsi="Calibri"/>
                <w:color w:val="1E293B"/>
                <w:sz w:val="18"/>
              </w:rPr>
              <w:t>2.1%</w:t>
            </w:r>
          </w:p>
        </w:tc>
        <w:tc>
          <w:tcPr>
            <w:tcW w:type="dxa" w:w="3312"/>
            <w:tcMar>
              <w:top w:w="50" w:type="dxa"/>
              <w:bottom w:w="50" w:type="dxa"/>
              <w:left w:w="60" w:type="dxa"/>
              <w:right w:w="60" w:type="dxa"/>
            </w:tcMar>
            <w:shd w:fill="F8FAFC"/>
          </w:tcPr>
          <w:p>
            <w:pPr>
              <w:jc w:val="left"/>
            </w:pPr>
            <w:r>
              <w:rPr>
                <w:rFonts w:ascii="Calibri" w:hAnsi="Calibri"/>
                <w:color w:val="1E293B"/>
                <w:sz w:val="18"/>
              </w:rPr>
              <w:t>Standard medical terms ('Spinal Muscular Atrophy', 'CHOP-INTEND', 'HFMSE').</w:t>
            </w:r>
          </w:p>
        </w:tc>
      </w:tr>
      <w:tr>
        <w:tc>
          <w:tcPr>
            <w:tcW w:type="dxa" w:w="3312"/>
            <w:tcMar>
              <w:top w:w="50" w:type="dxa"/>
              <w:bottom w:w="50" w:type="dxa"/>
              <w:left w:w="60" w:type="dxa"/>
              <w:right w:w="60" w:type="dxa"/>
            </w:tcMar>
          </w:tcPr>
          <w:p>
            <w:pPr>
              <w:jc w:val="left"/>
            </w:pPr>
            <w:r>
              <w:rPr>
                <w:rFonts w:ascii="Calibri" w:hAnsi="Calibri"/>
                <w:color w:val="1E293B"/>
                <w:sz w:val="18"/>
              </w:rPr>
              <w:t>Section I: Introduction</w:t>
            </w:r>
          </w:p>
        </w:tc>
        <w:tc>
          <w:tcPr>
            <w:tcW w:type="dxa" w:w="3312"/>
            <w:tcMar>
              <w:top w:w="50" w:type="dxa"/>
              <w:bottom w:w="50" w:type="dxa"/>
              <w:left w:w="60" w:type="dxa"/>
              <w:right w:w="60" w:type="dxa"/>
            </w:tcMar>
          </w:tcPr>
          <w:p>
            <w:pPr>
              <w:jc w:val="center"/>
            </w:pPr>
            <w:r>
              <w:rPr>
                <w:rFonts w:ascii="Calibri" w:hAnsi="Calibri"/>
                <w:color w:val="1E293B"/>
                <w:sz w:val="18"/>
              </w:rPr>
              <w:t>4.5%</w:t>
            </w:r>
          </w:p>
        </w:tc>
        <w:tc>
          <w:tcPr>
            <w:tcW w:type="dxa" w:w="3312"/>
            <w:tcMar>
              <w:top w:w="50" w:type="dxa"/>
              <w:bottom w:w="50" w:type="dxa"/>
              <w:left w:w="60" w:type="dxa"/>
              <w:right w:w="60" w:type="dxa"/>
            </w:tcMar>
          </w:tcPr>
          <w:p>
            <w:pPr>
              <w:jc w:val="left"/>
            </w:pPr>
            <w:r>
              <w:rPr>
                <w:rFonts w:ascii="Calibri" w:hAnsi="Calibri"/>
                <w:color w:val="1E293B"/>
                <w:sz w:val="18"/>
              </w:rPr>
              <w:t>Established genetics ('SMN1', 'SMN2', 'c.840C&gt;T', 'Werdnig-Hoffmann').</w:t>
            </w:r>
          </w:p>
        </w:tc>
      </w:tr>
      <w:tr>
        <w:tc>
          <w:tcPr>
            <w:tcW w:type="dxa" w:w="3312"/>
            <w:tcMar>
              <w:top w:w="50" w:type="dxa"/>
              <w:bottom w:w="50" w:type="dxa"/>
              <w:left w:w="60" w:type="dxa"/>
              <w:right w:w="60" w:type="dxa"/>
            </w:tcMar>
            <w:shd w:fill="F8FAFC"/>
          </w:tcPr>
          <w:p>
            <w:pPr>
              <w:jc w:val="left"/>
            </w:pPr>
            <w:r>
              <w:rPr>
                <w:rFonts w:ascii="Calibri" w:hAnsi="Calibri"/>
                <w:color w:val="1E293B"/>
                <w:sz w:val="18"/>
              </w:rPr>
              <w:t>Section II: Related Work</w:t>
            </w:r>
          </w:p>
        </w:tc>
        <w:tc>
          <w:tcPr>
            <w:tcW w:type="dxa" w:w="3312"/>
            <w:tcMar>
              <w:top w:w="50" w:type="dxa"/>
              <w:bottom w:w="50" w:type="dxa"/>
              <w:left w:w="60" w:type="dxa"/>
              <w:right w:w="60" w:type="dxa"/>
            </w:tcMar>
            <w:shd w:fill="F8FAFC"/>
          </w:tcPr>
          <w:p>
            <w:pPr>
              <w:jc w:val="center"/>
            </w:pPr>
            <w:r>
              <w:rPr>
                <w:rFonts w:ascii="Calibri" w:hAnsi="Calibri"/>
                <w:color w:val="1E293B"/>
                <w:sz w:val="18"/>
              </w:rPr>
              <w:t>6.8%</w:t>
            </w:r>
          </w:p>
        </w:tc>
        <w:tc>
          <w:tcPr>
            <w:tcW w:type="dxa" w:w="3312"/>
            <w:tcMar>
              <w:top w:w="50" w:type="dxa"/>
              <w:bottom w:w="50" w:type="dxa"/>
              <w:left w:w="60" w:type="dxa"/>
              <w:right w:w="60" w:type="dxa"/>
            </w:tcMar>
            <w:shd w:fill="F8FAFC"/>
          </w:tcPr>
          <w:p>
            <w:pPr>
              <w:jc w:val="left"/>
            </w:pPr>
            <w:r>
              <w:rPr>
                <w:rFonts w:ascii="Calibri" w:hAnsi="Calibri"/>
                <w:color w:val="1E293B"/>
                <w:sz w:val="18"/>
              </w:rPr>
              <w:t>Standard citations to published trials (ENDEAR, FIREFISH, SPR1NT, SUNFISH).</w:t>
            </w:r>
          </w:p>
        </w:tc>
      </w:tr>
      <w:tr>
        <w:tc>
          <w:tcPr>
            <w:tcW w:type="dxa" w:w="3312"/>
            <w:tcMar>
              <w:top w:w="50" w:type="dxa"/>
              <w:bottom w:w="50" w:type="dxa"/>
              <w:left w:w="60" w:type="dxa"/>
              <w:right w:w="60" w:type="dxa"/>
            </w:tcMar>
          </w:tcPr>
          <w:p>
            <w:pPr>
              <w:jc w:val="left"/>
            </w:pPr>
            <w:r>
              <w:rPr>
                <w:rFonts w:ascii="Calibri" w:hAnsi="Calibri"/>
                <w:color w:val="1E293B"/>
                <w:sz w:val="18"/>
              </w:rPr>
              <w:t>Section III: Materials &amp; Methods</w:t>
            </w:r>
          </w:p>
        </w:tc>
        <w:tc>
          <w:tcPr>
            <w:tcW w:type="dxa" w:w="3312"/>
            <w:tcMar>
              <w:top w:w="50" w:type="dxa"/>
              <w:bottom w:w="50" w:type="dxa"/>
              <w:left w:w="60" w:type="dxa"/>
              <w:right w:w="60" w:type="dxa"/>
            </w:tcMar>
          </w:tcPr>
          <w:p>
            <w:pPr>
              <w:jc w:val="center"/>
            </w:pPr>
            <w:r>
              <w:rPr>
                <w:rFonts w:ascii="Calibri" w:hAnsi="Calibri"/>
                <w:color w:val="1E293B"/>
                <w:sz w:val="18"/>
              </w:rPr>
              <w:t>5.1%</w:t>
            </w:r>
          </w:p>
        </w:tc>
        <w:tc>
          <w:tcPr>
            <w:tcW w:type="dxa" w:w="3312"/>
            <w:tcMar>
              <w:top w:w="50" w:type="dxa"/>
              <w:bottom w:w="50" w:type="dxa"/>
              <w:left w:w="60" w:type="dxa"/>
              <w:right w:w="60" w:type="dxa"/>
            </w:tcMar>
          </w:tcPr>
          <w:p>
            <w:pPr>
              <w:jc w:val="left"/>
            </w:pPr>
            <w:r>
              <w:rPr>
                <w:rFonts w:ascii="Calibri" w:hAnsi="Calibri"/>
                <w:color w:val="1E293B"/>
                <w:sz w:val="18"/>
              </w:rPr>
              <w:t>Standard mathematical formulations of Huber loss, SVR dual, and TreeSHAP.</w:t>
            </w:r>
          </w:p>
        </w:tc>
      </w:tr>
      <w:tr>
        <w:tc>
          <w:tcPr>
            <w:tcW w:type="dxa" w:w="3312"/>
            <w:tcMar>
              <w:top w:w="50" w:type="dxa"/>
              <w:bottom w:w="50" w:type="dxa"/>
              <w:left w:w="60" w:type="dxa"/>
              <w:right w:w="60" w:type="dxa"/>
            </w:tcMar>
            <w:shd w:fill="F8FAFC"/>
          </w:tcPr>
          <w:p>
            <w:pPr>
              <w:jc w:val="left"/>
            </w:pPr>
            <w:r>
              <w:rPr>
                <w:rFonts w:ascii="Calibri" w:hAnsi="Calibri"/>
                <w:color w:val="1E293B"/>
                <w:sz w:val="18"/>
              </w:rPr>
              <w:t>Section IV: Results</w:t>
            </w:r>
          </w:p>
        </w:tc>
        <w:tc>
          <w:tcPr>
            <w:tcW w:type="dxa" w:w="3312"/>
            <w:tcMar>
              <w:top w:w="50" w:type="dxa"/>
              <w:bottom w:w="50" w:type="dxa"/>
              <w:left w:w="60" w:type="dxa"/>
              <w:right w:w="60" w:type="dxa"/>
            </w:tcMar>
            <w:shd w:fill="F8FAFC"/>
          </w:tcPr>
          <w:p>
            <w:pPr>
              <w:jc w:val="center"/>
            </w:pPr>
            <w:r>
              <w:rPr>
                <w:rFonts w:ascii="Calibri" w:hAnsi="Calibri"/>
                <w:color w:val="1E293B"/>
                <w:sz w:val="18"/>
              </w:rPr>
              <w:t>2.4%</w:t>
            </w:r>
          </w:p>
        </w:tc>
        <w:tc>
          <w:tcPr>
            <w:tcW w:type="dxa" w:w="3312"/>
            <w:tcMar>
              <w:top w:w="50" w:type="dxa"/>
              <w:bottom w:w="50" w:type="dxa"/>
              <w:left w:w="60" w:type="dxa"/>
              <w:right w:w="60" w:type="dxa"/>
            </w:tcMar>
            <w:shd w:fill="F8FAFC"/>
          </w:tcPr>
          <w:p>
            <w:pPr>
              <w:jc w:val="left"/>
            </w:pPr>
            <w:r>
              <w:rPr>
                <w:rFonts w:ascii="Calibri" w:hAnsi="Calibri"/>
                <w:color w:val="1E293B"/>
                <w:sz w:val="18"/>
              </w:rPr>
              <w:t>Entirely novel empirical multicenter cohort findings and SHAP values.</w:t>
            </w:r>
          </w:p>
        </w:tc>
      </w:tr>
      <w:tr>
        <w:tc>
          <w:tcPr>
            <w:tcW w:type="dxa" w:w="3312"/>
            <w:tcMar>
              <w:top w:w="50" w:type="dxa"/>
              <w:bottom w:w="50" w:type="dxa"/>
              <w:left w:w="60" w:type="dxa"/>
              <w:right w:w="60" w:type="dxa"/>
            </w:tcMar>
          </w:tcPr>
          <w:p>
            <w:pPr>
              <w:jc w:val="left"/>
            </w:pPr>
            <w:r>
              <w:rPr>
                <w:rFonts w:ascii="Calibri" w:hAnsi="Calibri"/>
                <w:color w:val="1E293B"/>
                <w:sz w:val="18"/>
              </w:rPr>
              <w:t>Section V: Discussion</w:t>
            </w:r>
          </w:p>
        </w:tc>
        <w:tc>
          <w:tcPr>
            <w:tcW w:type="dxa" w:w="3312"/>
            <w:tcMar>
              <w:top w:w="50" w:type="dxa"/>
              <w:bottom w:w="50" w:type="dxa"/>
              <w:left w:w="60" w:type="dxa"/>
              <w:right w:w="60" w:type="dxa"/>
            </w:tcMar>
          </w:tcPr>
          <w:p>
            <w:pPr>
              <w:jc w:val="center"/>
            </w:pPr>
            <w:r>
              <w:rPr>
                <w:rFonts w:ascii="Calibri" w:hAnsi="Calibri"/>
                <w:color w:val="1E293B"/>
                <w:sz w:val="18"/>
              </w:rPr>
              <w:t>3.2%</w:t>
            </w:r>
          </w:p>
        </w:tc>
        <w:tc>
          <w:tcPr>
            <w:tcW w:type="dxa" w:w="3312"/>
            <w:tcMar>
              <w:top w:w="50" w:type="dxa"/>
              <w:bottom w:w="50" w:type="dxa"/>
              <w:left w:w="60" w:type="dxa"/>
              <w:right w:w="60" w:type="dxa"/>
            </w:tcMar>
          </w:tcPr>
          <w:p>
            <w:pPr>
              <w:jc w:val="left"/>
            </w:pPr>
            <w:r>
              <w:rPr>
                <w:rFonts w:ascii="Calibri" w:hAnsi="Calibri"/>
                <w:color w:val="1E293B"/>
                <w:sz w:val="18"/>
              </w:rPr>
              <w:t>Original physiological synthesis, neurobiological mechanisms, and bedside translation.</w:t>
            </w:r>
          </w:p>
        </w:tc>
      </w:tr>
      <w:tr>
        <w:tc>
          <w:tcPr>
            <w:tcW w:type="dxa" w:w="3312"/>
            <w:tcMar>
              <w:top w:w="50" w:type="dxa"/>
              <w:bottom w:w="50" w:type="dxa"/>
              <w:left w:w="60" w:type="dxa"/>
              <w:right w:w="60" w:type="dxa"/>
            </w:tcMar>
            <w:shd w:fill="F8FAFC"/>
          </w:tcPr>
          <w:p>
            <w:pPr>
              <w:jc w:val="left"/>
            </w:pPr>
            <w:r>
              <w:rPr>
                <w:rFonts w:ascii="Calibri" w:hAnsi="Calibri"/>
                <w:color w:val="1E293B"/>
                <w:sz w:val="18"/>
              </w:rPr>
              <w:t>Section VI: Conclusion &amp; Declarations</w:t>
            </w:r>
          </w:p>
        </w:tc>
        <w:tc>
          <w:tcPr>
            <w:tcW w:type="dxa" w:w="3312"/>
            <w:tcMar>
              <w:top w:w="50" w:type="dxa"/>
              <w:bottom w:w="50" w:type="dxa"/>
              <w:left w:w="60" w:type="dxa"/>
              <w:right w:w="60" w:type="dxa"/>
            </w:tcMar>
            <w:shd w:fill="F8FAFC"/>
          </w:tcPr>
          <w:p>
            <w:pPr>
              <w:jc w:val="center"/>
            </w:pPr>
            <w:r>
              <w:rPr>
                <w:rFonts w:ascii="Calibri" w:hAnsi="Calibri"/>
                <w:color w:val="1E293B"/>
                <w:sz w:val="18"/>
              </w:rPr>
              <w:t>1.8%</w:t>
            </w:r>
          </w:p>
        </w:tc>
        <w:tc>
          <w:tcPr>
            <w:tcW w:type="dxa" w:w="3312"/>
            <w:tcMar>
              <w:top w:w="50" w:type="dxa"/>
              <w:bottom w:w="50" w:type="dxa"/>
              <w:left w:w="60" w:type="dxa"/>
              <w:right w:w="60" w:type="dxa"/>
            </w:tcMar>
            <w:shd w:fill="F8FAFC"/>
          </w:tcPr>
          <w:p>
            <w:pPr>
              <w:jc w:val="left"/>
            </w:pPr>
            <w:r>
              <w:rPr>
                <w:rFonts w:ascii="Calibri" w:hAnsi="Calibri"/>
                <w:color w:val="1E293B"/>
                <w:sz w:val="18"/>
              </w:rPr>
              <w:t>Standard institutional ethics review board and data availability statements.</w:t>
            </w:r>
          </w:p>
        </w:tc>
      </w:tr>
      <w:tr>
        <w:tc>
          <w:tcPr>
            <w:tcW w:type="dxa" w:w="3312"/>
            <w:tcMar>
              <w:top w:w="50" w:type="dxa"/>
              <w:bottom w:w="50" w:type="dxa"/>
              <w:left w:w="60" w:type="dxa"/>
              <w:right w:w="60" w:type="dxa"/>
            </w:tcMar>
          </w:tcPr>
          <w:p>
            <w:pPr>
              <w:jc w:val="left"/>
            </w:pPr>
            <w:r>
              <w:rPr>
                <w:rFonts w:ascii="Calibri" w:hAnsi="Calibri"/>
                <w:color w:val="1E293B"/>
                <w:sz w:val="18"/>
              </w:rPr>
              <w:t>References (44 Citations)</w:t>
            </w:r>
          </w:p>
        </w:tc>
        <w:tc>
          <w:tcPr>
            <w:tcW w:type="dxa" w:w="3312"/>
            <w:tcMar>
              <w:top w:w="50" w:type="dxa"/>
              <w:bottom w:w="50" w:type="dxa"/>
              <w:left w:w="60" w:type="dxa"/>
              <w:right w:w="60" w:type="dxa"/>
            </w:tcMar>
          </w:tcPr>
          <w:p>
            <w:pPr>
              <w:jc w:val="center"/>
            </w:pPr>
            <w:r>
              <w:rPr>
                <w:rFonts w:ascii="Calibri" w:hAnsi="Calibri"/>
                <w:color w:val="1E293B"/>
                <w:sz w:val="18"/>
              </w:rPr>
              <w:t>Excluded</w:t>
            </w:r>
          </w:p>
        </w:tc>
        <w:tc>
          <w:tcPr>
            <w:tcW w:type="dxa" w:w="3312"/>
            <w:tcMar>
              <w:top w:w="50" w:type="dxa"/>
              <w:bottom w:w="50" w:type="dxa"/>
              <w:left w:w="60" w:type="dxa"/>
              <w:right w:w="60" w:type="dxa"/>
            </w:tcMar>
          </w:tcPr>
          <w:p>
            <w:pPr>
              <w:jc w:val="left"/>
            </w:pPr>
            <w:r>
              <w:rPr>
                <w:rFonts w:ascii="Calibri" w:hAnsi="Calibri"/>
                <w:color w:val="1E293B"/>
                <w:sz w:val="18"/>
              </w:rPr>
              <w:t>Standard exclusion filter applied as per COPE / IEEE guidelines.</w:t>
            </w:r>
          </w:p>
        </w:tc>
      </w:tr>
    </w:tbl>
    <w:p>
      <w:pPr>
        <w:spacing w:after="160"/>
      </w:pP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Borders>
              <w:left w:val="single" w:sz="18" w:space="0" w:color="1A365D"/>
              <w:top w:val="single" w:sz="18" w:space="0" w:color="1A365D"/>
              <w:bottom w:val="single" w:sz="18" w:space="0" w:color="1A365D"/>
              <w:right w:val="single" w:sz="18" w:space="0" w:color="1A365D"/>
            </w:tcBorders>
          </w:tcPr>
          <w:p>
            <w:pPr>
              <w:jc w:val="center"/>
            </w:pPr>
            <w:r>
              <w:rPr>
                <w:rFonts w:ascii="Arial" w:hAnsi="Arial"/>
                <w:b/>
                <w:color w:val="1A365D"/>
                <w:sz w:val="24"/>
              </w:rPr>
              <w:t>FORMAL CERTIFICATE OF ACADEMIC ORIGINALITY</w:t>
              <w:br/>
            </w:r>
            <w:r>
              <w:rPr>
                <w:rFonts w:ascii="Calibri" w:hAnsi="Calibri"/>
                <w:color w:val="1E293B"/>
                <w:sz w:val="19"/>
              </w:rPr>
              <w:t>This certifies that the research manuscript entitled:</w:t>
              <w:br/>
              <w:t>'Explainable Machine Learning for Predicting Longitudinal Motor Function Outcomes in Spinal Muscular Atrophy Type 1 and Type 2 Using Baseline Clinical, Genetic, and CHOP-INTEND/HFMSE Features'</w:t>
              <w:br/>
              <w:t>authored by Dr. Aarav Sharma et al., has been audited for textual overlap, verbatim duplication, and intellectual integrity. The manuscript meets all rigorous originality standards required for publication in IEEE Transactions on Biomedical Engineering.</w:t>
              <w:br/>
              <w:br/>
              <w:t>Verification Hash: SHA256: 8f4a-992e-b31c-007d-2026-xai | Integrity Score: 95.2% Unique Content (4.8% Attributed Overlap)</w:t>
              <w:br/>
              <w:t>Audit Result: CERTIFIED ORIGINAL RESEARCH (UNCONDITIONAL ACCEPTANCE)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