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rPr>
          <w:rFonts w:ascii="Times New Roman" w:hAnsi="Times New Roman"/>
          <w:b/>
          <w:color w:val="1A365D"/>
          <w:sz w:val="44"/>
        </w:rPr>
        <w:t>Explainable Machine Learning for Predicting Longitudinal Motor Function Outcomes in Spinal Muscular Atrophy Type 1 and Type 2 Using Baseline Clinical, Genetic, and CHOP-INTEND/HFMSE Features</w:t>
      </w:r>
    </w:p>
    <w:p>
      <w:pPr>
        <w:spacing w:after="80"/>
        <w:jc w:val="center"/>
      </w:pPr>
      <w:r>
        <w:rPr>
          <w:rFonts w:ascii="Times New Roman" w:hAnsi="Times New Roman"/>
          <w:b/>
          <w:color w:val="2D3748"/>
          <w:sz w:val="22"/>
        </w:rPr>
        <w:t>Aarav Sharma, M.D., Ph.D., Member, IEEE, Elena Rostova, Ph.D., Marcus Vance, M.D.,</w:t>
        <w:br/>
        <w:t>Karis Patel, M.S., Sofia Lindqvist, Ph.D., and Julian Thorne, M.D.</w:t>
      </w:r>
    </w:p>
    <w:p>
      <w:pPr>
        <w:spacing w:after="240"/>
        <w:jc w:val="center"/>
      </w:pPr>
      <w:r>
        <w:rPr>
          <w:rFonts w:ascii="Times New Roman" w:hAnsi="Times New Roman"/>
          <w:i/>
          <w:color w:val="64748B"/>
          <w:sz w:val="18"/>
        </w:rPr>
        <w:t>Department of Pediatric Neurology and Neuromuscular Medicine, University Medical Center, Zurich, Switzerland</w:t>
        <w:br/>
        <w:t>Institute of Medical Artificial Intelligence and Biomedical Engineering, Technical University of Munich, Munich, Germany</w:t>
        <w:br/>
        <w:t>Department of Neurology and Neurobiology, Johns Hopkins University School of Medicine, Baltimore, MD, USA</w:t>
        <w:br/>
        <w:t>Division of Clinical Genetics, Karolinska University Hospital, Stockholm, Sweden</w:t>
        <w:br/>
        <w:t>Corresponding Author: a.sharma@neurology-med.org | Manuscript Received March 15, 2026; Accepted June 10, 2026.</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left w:val="single" w:sz="24" w:space="0" w:color="1A365D"/>
              <w:top w:val="single" w:sz="6" w:space="0" w:color="CBD5E1"/>
              <w:bottom w:val="single" w:sz="6" w:space="0" w:color="CBD5E1"/>
              <w:right w:val="single" w:sz="6" w:space="0" w:color="CBD5E1"/>
            </w:tcBorders>
          </w:tcPr>
          <w:p>
            <w:pPr>
              <w:spacing w:after="80"/>
            </w:pPr>
            <w:r>
              <w:rPr>
                <w:rFonts w:ascii="Times New Roman" w:hAnsi="Times New Roman"/>
                <w:b/>
                <w:color w:val="1A365D"/>
                <w:sz w:val="20"/>
              </w:rPr>
              <w:t>ABSTRACT &amp; INDEX TERMS</w:t>
            </w:r>
          </w:p>
          <w:p>
            <w:pPr>
              <w:spacing w:line="276" w:lineRule="auto" w:after="80"/>
            </w:pPr>
            <w:r>
              <w:rPr>
                <w:rFonts w:ascii="Times New Roman" w:hAnsi="Times New Roman"/>
                <w:color w:val="1E293B"/>
                <w:sz w:val="19"/>
              </w:rPr>
              <w:t>Abstract—Spinal Muscular Atrophy (SMA) is an autosomal recessive neurodegenerative disorder caused by biallelic loss of SMN1, leading to progressive spinal α-motor neuron loss, muscular atrophy, and quadriparesis. Although revolutionary disease-modifying therapies (DMTs)—nusinersen, risdiplam, and onasemnogene abeparvovec—have redefined the natural history, longitudinal motor responses remain markedly heterogeneous. Clinicians lack rigorous, interpretable prognostic instruments to forecast multi-year motor trajectory outcomes and guide tailored clinical decisions. Here, we present a multicenter explainable machine learning (ML) framework for predicting 24-month longitudinal motor score changes (ΔScore24m) in 350 pediatric SMA patients (SMA Type 1: n = 154, evaluated via CHOP-INTEND; SMA Type 2: n = 196, evaluated via HFMSE). Using 11 baseline clinical, genetic (SMN2 copies), electrophysiological (compound muscle action potential, CMAP), anthropometric, and psychometric features, six machine learning architectures were trained within a 10-fold repeated nested cross-validation paradigm. The Gradient Boosting Regressor (GBM) exhibited superior prognostic precision, achieving a cross-validated R² of 0.840, an RMSE of 1.77 points, an MAE of 1.37 points, and a Pearson correlation r = 0.926 (p &lt; 0.001). Bland-Altman agreement confirmed zero systematic bias (mean difference: +0.00 points; 95% limits of agreement: -3.46 to +3.46). Game-theoretic Shapley Additive exPlanations (SHAP TreeExplainer) revealed that therapeutic initiation delay is the single most dominant determinant of 24-month recovery (mean |SHAP| = 2.14 points), followed by baseline CMAP amplitude (1.82 points), baseline functional score (1.45 points), and SMN2 copy number (1.28 points). Partial dependence functions identified steep non-linear therapeutic windows, wherein every month of delayed intervention beyond 3.5 months in Type 1 and 8.0 months in Type 2 precipitously attenuated prospective motor gains. Individualized waterfall decompositions demonstrated bedside utility by explaining divergent therapeutic trajectories. This framework establishes an accurate, transparent, and clinically actionable paradigm for precision prognosis and trial stratification in pediatric neurology.</w:t>
              <w:br/>
              <w:br/>
              <w:t>Index Terms—Spinal Muscular Atrophy, Explainable Artificial Intelligence, SHAP, CHOP-INTEND, HFMSE, Longitudinal Outcomes, Precision Neurology, Disease-Modifying Therapy, Prognostic Machine Learning, Pediatric Neurology.</w:t>
            </w:r>
          </w:p>
        </w:tc>
      </w:tr>
    </w:tbl>
    <w:p>
      <w:pPr>
        <w:spacing w:before="80" w:after="120"/>
      </w:pPr>
    </w:p>
    <w:p>
      <w:pPr>
        <w:sectPr>
          <w:headerReference w:type="default" r:id="rId9"/>
          <w:pgSz w:w="12240" w:h="15840"/>
          <w:pgMar w:top="1080" w:right="1080" w:bottom="1080" w:left="1080" w:header="720" w:footer="720" w:gutter="0"/>
          <w:cols w:space="720"/>
          <w:docGrid w:linePitch="360"/>
        </w:sectPr>
      </w:pPr>
    </w:p>
    <w:p>
      <w:pPr>
        <w:keepNext/>
        <w:spacing w:before="280" w:after="80"/>
        <w:jc w:val="left"/>
      </w:pPr>
      <w:r>
        <w:rPr>
          <w:rFonts w:ascii="Times New Roman" w:hAnsi="Times New Roman"/>
          <w:b/>
          <w:color w:val="1A365D"/>
          <w:sz w:val="21"/>
        </w:rPr>
        <w:t>I. INTRODUCTION</w:t>
      </w:r>
    </w:p>
    <w:p>
      <w:pPr>
        <w:spacing w:before="20" w:after="60" w:line="269" w:lineRule="auto"/>
        <w:jc w:val="both"/>
      </w:pPr>
      <w:r>
        <w:rPr>
          <w:rFonts w:ascii="Times New Roman" w:hAnsi="Times New Roman"/>
          <w:b/>
          <w:color w:val="1A365D"/>
          <w:sz w:val="20"/>
        </w:rPr>
        <w:t xml:space="preserve">A. Background and Molecular Pathophysiology </w:t>
      </w:r>
      <w:r>
        <w:rPr>
          <w:rFonts w:ascii="Times New Roman" w:hAnsi="Times New Roman"/>
          <w:color w:val="1E293B"/>
          <w:sz w:val="20"/>
        </w:rPr>
        <w:t>Spinal Muscular Atrophy (SMA) is an autosomal recessive, debilitating neuromuscular disorder characterized by the progressive degeneration of lower motor neurons within the anterior horns of the spinal cord and lower brainstem. Affecting approximately 1 in 6,000 to 1 in 10,000 live births globally, SMA represents the leading genetic etiology of infant mortality and lifelong pediatric disability. At the molecular level, more than 95% of all cases are attributable to homozygous deletions, gene conversions, or loss-of-function point mutations in the Survival Motor Neuron 1 (SMN1) gene located on chromosome 5q13.2. Deficient expression of the full-length SMN protein disrupts the assembly of small nuclear ribonucleoprotein (snRNP) complexes, alters fundamental pre-mRNA alternative splicing machinery, and compromises axonal mRNA transport along the motor axon terminal arborization.</w:t>
      </w:r>
    </w:p>
    <w:p>
      <w:pPr>
        <w:spacing w:before="20" w:after="60" w:line="269" w:lineRule="auto"/>
        <w:jc w:val="both"/>
      </w:pPr>
      <w:r>
        <w:rPr>
          <w:rFonts w:ascii="Times New Roman" w:hAnsi="Times New Roman"/>
          <w:b/>
          <w:color w:val="1A365D"/>
          <w:sz w:val="20"/>
        </w:rPr>
        <w:t xml:space="preserve">B. Genomic Modifiers and Alternative Splicing Dynamics </w:t>
      </w:r>
      <w:r>
        <w:rPr>
          <w:rFonts w:ascii="Times New Roman" w:hAnsi="Times New Roman"/>
          <w:color w:val="1E293B"/>
          <w:sz w:val="20"/>
        </w:rPr>
        <w:t>The clinical expression of 5q-SMA is uniquely modified by a paralogous centromeric gene, SMN2, which arose through an evolutionary inverted duplication on chromosome 5q. Although nearly identical in sequence, SMN2 harbors a crucial silent transition (c.840C&gt;T) within exon 7. This single base change disrupts an exonic splicing enhancer recognized by ASF/SF2 while simultaneously generating an exonic splicing silencer recognized by heterogeneous nuclear ribonucleoprotein A1 (hnRNP A1). Consequently, approximately 85% to 90% of pre-mRNA transcripts transcribed from SMN2 omit exon 7, encoding a truncated, structurally unstable protein isoform (SMNΔ7) that undergoes rapid degradation via the ubiquitin-proteasome degradation cascade. Only 10% to 15% of transcripts from SMN2 yield functional, full-length SMN protein. As a result, the genomic copy number of SMN2 serves as the primary, yet imperfect, biological modifier of SMA phenotypic severity.</w:t>
      </w:r>
    </w:p>
    <w:p>
      <w:pPr>
        <w:spacing w:before="20" w:after="60" w:line="269" w:lineRule="auto"/>
        <w:jc w:val="both"/>
      </w:pPr>
      <w:r>
        <w:rPr>
          <w:rFonts w:ascii="Times New Roman" w:hAnsi="Times New Roman"/>
          <w:b/>
          <w:color w:val="1A365D"/>
          <w:sz w:val="20"/>
        </w:rPr>
        <w:t xml:space="preserve">C. Molecular Architecture of the SMN Multi-Protein Complex </w:t>
      </w:r>
      <w:r>
        <w:rPr>
          <w:rFonts w:ascii="Times New Roman" w:hAnsi="Times New Roman"/>
          <w:color w:val="1E293B"/>
          <w:sz w:val="20"/>
        </w:rPr>
        <w:t>The survival motor neuron protein functions not as an isolated monomer, but as the central nucleating scaffold of a macromolecular multiprotein assembly termed the SMN complex. Comprising SMN, Gemins 2 through 8, and Unrip, this oligomeric machine is essential for the chaperoned assembly of heptameric Sm-protein rings onto uridylate-rich small nuclear RNAs (snRNAs U1, U2, U4, U5) to generate mature spliceosomal snRNPs. In the selective vulnerability of motor neurons, SMN depletion impairs snRNP biogenesis, disproportionately triggering alternative splicing errors across genes with minor (U12-dependent) introns, including genes governing mitochondrial energetics, calcium homeostasis, and synaptic transmission. Furthermore, SMN plays an extra-spliceosomal role in motor axons, forming ribonucleoprotein granules that transport mRNAs encoding actin-regulatory proteins (such as β-actin and β-tropomyosin) to distal growth cones and terminal presynaptic boutons. Loss of axonal SMN precipitates premature growth cone collapse, terminal arborization arrest, and failure of neuromuscular junction (NMJ) maturation.</w:t>
      </w:r>
    </w:p>
    <w:p>
      <w:pPr>
        <w:spacing w:before="20" w:after="60" w:line="269" w:lineRule="auto"/>
        <w:jc w:val="both"/>
      </w:pPr>
      <w:r>
        <w:rPr>
          <w:rFonts w:ascii="Times New Roman" w:hAnsi="Times New Roman"/>
          <w:b/>
          <w:color w:val="1A365D"/>
          <w:sz w:val="20"/>
        </w:rPr>
        <w:t xml:space="preserve">D. Phenotypic Taxonomy: SMA Type 1 vs. Type 2 </w:t>
      </w:r>
      <w:r>
        <w:rPr>
          <w:rFonts w:ascii="Times New Roman" w:hAnsi="Times New Roman"/>
          <w:color w:val="1E293B"/>
          <w:sz w:val="20"/>
        </w:rPr>
        <w:t>Historically, SMA has been classified into discrete clinical subtypes determined by the age of onset and the highest achieved gross motor milestone:</w:t>
        <w:br/>
        <w:t>1) SMA Type 1 (Werdnig-Hoffmann Disease): Represents approximately 60% of incident cases, with symptom onset occurring prior to 6 months of age (median ~2.5 months). Infants present with generalized severe hypotonia (the classical 'floppy infant' appearance), symmetrical flaccid quadriparesis, bell-shaped thoracic deformity secondary to diaphragmatic breathing with intercostal paralysis, absent tendon reflexes, and fasciculations of the tongue. Without disease-modifying treatment, natural history studies document that affected infants never achieve unsupported sitting, and over 90% succumb to respiratory failure or require invasive mechanical ventilation before their second birthday.</w:t>
        <w:br/>
        <w:t>2) SMA Type 2 (Dubowitz Disease): Represents roughly 25% of cases, with clinical manifestations emerging between 6 and 18 months of age. These children acquire the capacity to sit upright unsupported when placed, but fail to achieve independent upright ambulation. While survival typically extends into adulthood with proactive pulmonary and orthopedic support, patients face substantial morbidity, including accelerated neuromuscular scoliosis, joint contractures, restrictive ventilatory insufficiency, and marked proximal limb weakness.</w:t>
      </w:r>
    </w:p>
    <w:p>
      <w:pPr>
        <w:spacing w:before="20" w:after="60" w:line="269" w:lineRule="auto"/>
        <w:jc w:val="both"/>
      </w:pPr>
      <w:r>
        <w:rPr>
          <w:rFonts w:ascii="Times New Roman" w:hAnsi="Times New Roman"/>
          <w:b/>
          <w:color w:val="1A365D"/>
          <w:sz w:val="20"/>
        </w:rPr>
        <w:t xml:space="preserve">E. Psychometric Motor Function Scales: CHOP-INTEND and HFMSE </w:t>
      </w:r>
      <w:r>
        <w:rPr>
          <w:rFonts w:ascii="Times New Roman" w:hAnsi="Times New Roman"/>
          <w:color w:val="1E293B"/>
          <w:sz w:val="20"/>
        </w:rPr>
        <w:t>To track disease progression and therapeutic efficacy across distinct developmental stages, specialized, validated motor assessment batteries are routinely deployed:</w:t>
        <w:br/>
        <w:t>1) CHOP-INTEND (Children's Hospital of Philadelphia Infant Test of Neuromuscular Disorders): Standardized for non-sitting infants with profound weakness, evaluating 14 active, antigravity, and reflexive motor behaviors (total range: 0–64 points). In clinical trials and real-world registries, a gain of ≥ +4 points is widely established as the Minimal Clinically Important Difference (MCID).</w:t>
        <w:br/>
        <w:t>2) HFMSE (Hammersmith Functional Motor Scale Expanded): Tailored for sitters and ambulatory individuals, consisting of 33 discrete motor tasks (each scored 0–2; total range: 0–66 points) evaluating rolling, prop-sitting, four-point kneeling, crawling, and transitional maneuvers. An improvement of ≥ +3 points denotes the validated MCID.</w:t>
      </w:r>
    </w:p>
    <w:p>
      <w:pPr>
        <w:spacing w:before="20" w:after="60" w:line="269" w:lineRule="auto"/>
        <w:jc w:val="both"/>
      </w:pPr>
      <w:r>
        <w:rPr>
          <w:rFonts w:ascii="Times New Roman" w:hAnsi="Times New Roman"/>
          <w:b/>
          <w:color w:val="1A365D"/>
          <w:sz w:val="20"/>
        </w:rPr>
        <w:t xml:space="preserve">F. The Therapeutic Landscape and the Prognostic Dilemma </w:t>
      </w:r>
      <w:r>
        <w:rPr>
          <w:rFonts w:ascii="Times New Roman" w:hAnsi="Times New Roman"/>
          <w:color w:val="1E293B"/>
          <w:sz w:val="20"/>
        </w:rPr>
        <w:t>Over the past decade, three revolutionary Disease-Modifying Therapies (DMTs) have received international regulatory authorization:</w:t>
        <w:br/>
        <w:t>• Nusinersen (Spinraza): An intrathecally administered 2'-O-methoxyethyl antisense oligonucleotide that targets the intronic splicing silencer N1 (ISS-N1) within SMN2 intron 7, displacing hnRNP A1/A2 and driving inclusion of exon 7.</w:t>
        <w:br/>
        <w:t>• Risdiplam (Evrysdi): An orally bioavailable, systemically distributed small-molecule splicing modulator that selectively shifts the 5' splice site of SMN2 exon 7 toward inclusion, elevating functional SMN protein across both central nervous tissue and peripheral organs.</w:t>
        <w:br/>
        <w:t>• Onasemnogene Abeparvovec (Zolgensma): An adeno-associated virus serotype 9 (AAV9) gene replacement vector delivering an intact human SMN1 cDNA under a chicken-β-actin hybrid promoter to motor neurons via a single intravenous infusion.</w:t>
        <w:br/>
        <w:t>While these therapies have converted previously fatal infantile SMA into a survivable condition with milestone gains, real-world registry evidence from 2020–2026 demonstrates striking heterogeneity in clinical trajectory. While some infants rapidly gain head control, sitting, and independent ambulation, a substantial proportion display modest functional gains, persistent respiratory dependency, or premature plateauing. Predicting the individual 24-month trajectory remains an unresolved challenge for pediatric neurologists.</w:t>
      </w:r>
    </w:p>
    <w:p>
      <w:pPr>
        <w:spacing w:before="20" w:after="60" w:line="269" w:lineRule="auto"/>
        <w:jc w:val="both"/>
      </w:pPr>
      <w:r>
        <w:rPr>
          <w:rFonts w:ascii="Times New Roman" w:hAnsi="Times New Roman"/>
          <w:b/>
          <w:color w:val="1A365D"/>
          <w:sz w:val="20"/>
        </w:rPr>
        <w:t xml:space="preserve">G. The Human and Socioeconomic Burden of Delayed Intervention </w:t>
      </w:r>
      <w:r>
        <w:rPr>
          <w:rFonts w:ascii="Times New Roman" w:hAnsi="Times New Roman"/>
          <w:color w:val="1E293B"/>
          <w:sz w:val="20"/>
        </w:rPr>
        <w:t>In chronic progressive neuromuscular diseases, delays in diagnosis and therapeutic initiation inflict immense personal, psychological, and financial costs on affected families and healthcare ecosystems. Health-economic evaluations across European and North American healthcare systems indicate that patients requiring lifelong mechanical ventilation and intensive supportive care generate direct lifetime medical costs exceeding 4.5 million. Furthermore, irreversible loss of anterior horn motor neurons during diagnostic Odysseys permanently truncates developmental milestones, placing overwhelming caregiver burdens on parents. Providing objective algorithmic tools to quantify the exact cost of therapeutic delay provides compelling justification for universal newborn screening and immediate DMT access.</w:t>
      </w:r>
    </w:p>
    <w:p>
      <w:pPr>
        <w:spacing w:before="20" w:after="60" w:line="269" w:lineRule="auto"/>
        <w:jc w:val="both"/>
      </w:pPr>
      <w:r>
        <w:rPr>
          <w:rFonts w:ascii="Times New Roman" w:hAnsi="Times New Roman"/>
          <w:b/>
          <w:color w:val="1A365D"/>
          <w:sz w:val="20"/>
        </w:rPr>
        <w:t xml:space="preserve">H. Research Gaps and Primary Contributions </w:t>
      </w:r>
      <w:r>
        <w:rPr>
          <w:rFonts w:ascii="Times New Roman" w:hAnsi="Times New Roman"/>
          <w:color w:val="1E293B"/>
          <w:sz w:val="20"/>
        </w:rPr>
        <w:t>Existing prognostic models in SMA suffer from critical shortcomings:</w:t>
        <w:br/>
        <w:t>1) Univariate Oversimplification: Clinical prognosis is frequently based almost entirely on SMN2 copy number or chronological age at presentation, ignoring non-linear interactions with baseline electrophysiology (CMAP), nutritional state, and existing functional motor reserve.</w:t>
        <w:br/>
        <w:t>2) Short-Term Horizons: Most published computational investigations restrict predictions to 6-month horizons, failing to anticipate the 24-month window where therapeutic deceleration and plateaus manifest.</w:t>
        <w:br/>
        <w:t>3) The Opaque 'Black-Box' Barrier: Conventional deep neural networks or complex ensembles lack transparency, preventing clinicians from understanding the biological rationale behind algorithmic predictions.</w:t>
        <w:br/>
        <w:t>4) Scale Incompatibility: Previous works rarely integrate disparate pediatric motor instruments (CHOP-INTEND vs. HFMSE) into a mathematically unified prognostic architecture.</w:t>
        <w:br/>
        <w:t>To bridge these gaps, this investigation formulates and validates an Explainable Machine Learning framework for forecasting 24-month longitudinal motor score improvements (ΔScore24m) in SMA Type 1 and Type 2. We leverage game-theoretic Shapley Additive exPlanations (SHAP) to unpack global feature hierarchies, delineate critical non-linear therapeutic windows, and generate patient-specific bedside explanations.</w:t>
      </w:r>
    </w:p>
    <w:p>
      <w:pPr>
        <w:sectPr>
          <w:type w:val="continuous"/>
          <w:pgSz w:w="12240" w:h="15840"/>
          <w:pgMar w:top="1080" w:right="1080" w:bottom="1080" w:left="1080" w:header="720" w:footer="720" w:gutter="0"/>
          <w:cols w:space="720"/>
          <w:docGrid w:linePitch="360"/>
          <w:cols w:num="2" w:space="360"/>
        </w:sectPr>
      </w:pPr>
    </w:p>
    <w:p>
      <w:pPr>
        <w:keepNext/>
        <w:spacing w:before="160" w:after="60"/>
        <w:jc w:val="center"/>
      </w:pPr>
      <w:r>
        <w:drawing>
          <wp:inline xmlns:a="http://schemas.openxmlformats.org/drawingml/2006/main" xmlns:pic="http://schemas.openxmlformats.org/drawingml/2006/picture">
            <wp:extent cx="6217920" cy="4162409"/>
            <wp:docPr id="1" name="Picture 1"/>
            <wp:cNvGraphicFramePr>
              <a:graphicFrameLocks noChangeAspect="1"/>
            </wp:cNvGraphicFramePr>
            <a:graphic>
              <a:graphicData uri="http://schemas.openxmlformats.org/drawingml/2006/picture">
                <pic:pic>
                  <pic:nvPicPr>
                    <pic:cNvPr id="0" name="Figure_01_Clinical_and_Pathophysiological_Overview.png"/>
                    <pic:cNvPicPr/>
                  </pic:nvPicPr>
                  <pic:blipFill>
                    <a:blip r:embed="rId10"/>
                    <a:stretch>
                      <a:fillRect/>
                    </a:stretch>
                  </pic:blipFill>
                  <pic:spPr>
                    <a:xfrm>
                      <a:off x="0" y="0"/>
                      <a:ext cx="6217920" cy="4162409"/>
                    </a:xfrm>
                    <a:prstGeom prst="rect"/>
                  </pic:spPr>
                </pic:pic>
              </a:graphicData>
            </a:graphic>
          </wp:inline>
        </w:drawing>
      </w:r>
    </w:p>
    <w:p>
      <w:pPr>
        <w:spacing w:after="200"/>
        <w:jc w:val="center"/>
      </w:pPr>
      <w:r>
        <w:rPr>
          <w:rFonts w:ascii="Times New Roman" w:hAnsi="Times New Roman"/>
          <w:b/>
          <w:color w:val="1A365D"/>
          <w:sz w:val="18"/>
        </w:rPr>
        <w:t xml:space="preserve">Fig. 1.  </w:t>
      </w:r>
      <w:r>
        <w:rPr>
          <w:rFonts w:ascii="Times New Roman" w:hAnsi="Times New Roman"/>
          <w:color w:val="1E293B"/>
          <w:sz w:val="18"/>
        </w:rPr>
        <w:t>Clinical and Pathophysiological Overview of Spinal Muscular Atrophy Type 1 and Type 2. (A) Chromosomal 5q13.2 genomic architecture illustrating SMN1 vs. SMN2 alternative splicing governed by the c.840C&gt;T transition. (B) Neuropathological sequence from nuclear snRNP depletion to spinal anterior horn α-motor neuron apoptosis, denervation, and muscular atrophy. (C) Clinical taxonomy comparing Type 1 (Werdnig-Hoffmann) vs. Type 2 (Dubowitz) across onset, milestones, and natural history. (D) Molecular mechanisms of disease-modifying therapies (Nusinersen, Risdiplam, Onasemnogene Abeparvovec).</w:t>
      </w:r>
    </w:p>
    <w:p>
      <w:pPr>
        <w:sectPr>
          <w:type w:val="continuous"/>
          <w:pgSz w:w="12240" w:h="15840"/>
          <w:pgMar w:top="1080" w:right="1080" w:bottom="1080" w:left="1080" w:header="720" w:footer="720" w:gutter="0"/>
          <w:cols w:space="720"/>
          <w:docGrid w:linePitch="360"/>
          <w:cols w:num="2" w:space="360"/>
          <w:cols w:num="1"/>
        </w:sectPr>
      </w:pPr>
    </w:p>
    <w:p>
      <w:pPr>
        <w:keepNext/>
        <w:spacing w:before="280" w:after="80"/>
        <w:jc w:val="left"/>
      </w:pPr>
      <w:r>
        <w:rPr>
          <w:rFonts w:ascii="Times New Roman" w:hAnsi="Times New Roman"/>
          <w:b/>
          <w:color w:val="1A365D"/>
          <w:sz w:val="21"/>
        </w:rPr>
        <w:t>II. RELATED WORK AND LITERATURE REVIEW (2020–2026)</w:t>
      </w:r>
    </w:p>
    <w:p>
      <w:pPr>
        <w:spacing w:before="20" w:after="60" w:line="269" w:lineRule="auto"/>
        <w:jc w:val="both"/>
      </w:pPr>
      <w:r>
        <w:rPr>
          <w:rFonts w:ascii="Times New Roman" w:hAnsi="Times New Roman"/>
          <w:b/>
          <w:color w:val="1A365D"/>
          <w:sz w:val="20"/>
        </w:rPr>
        <w:t xml:space="preserve">A. Real-World Multi-Center Registries and Trajectory Studies </w:t>
      </w:r>
      <w:r>
        <w:rPr>
          <w:rFonts w:ascii="Times New Roman" w:hAnsi="Times New Roman"/>
          <w:color w:val="1E293B"/>
          <w:sz w:val="20"/>
        </w:rPr>
        <w:t>The introduction of DMTs sparked the establishment of major international observational registries. The multinational RESTORE registry and the European SMArtCARE network have documented multi-year motor outcomes across thousands of patients. Coratti et al. (2021, 2023) demonstrated that although motor gains on the HFMSE can be maintained over several years in Type 2 and 3 patients, the annualized velocity of improvement diminishes significantly after the initial 12 months. In infant cohorts evaluated using CHOP-INTEND, Pane et al. (2022) reported that baseline motor score and age at therapeutic onset represent pivotal determinants of milestone attainment. However, registry publications have primarily relied on standard Kaplan-Meier estimates and multivariable linear regressions, which fail to capture high-order non-linearities and multivariate interactions.</w:t>
      </w:r>
    </w:p>
    <w:p>
      <w:pPr>
        <w:spacing w:before="20" w:after="60" w:line="269" w:lineRule="auto"/>
        <w:jc w:val="both"/>
      </w:pPr>
      <w:r>
        <w:rPr>
          <w:rFonts w:ascii="Times New Roman" w:hAnsi="Times New Roman"/>
          <w:b/>
          <w:color w:val="1A365D"/>
          <w:sz w:val="20"/>
        </w:rPr>
        <w:t xml:space="preserve">B. Electrophysiological (CMAP) and Molecular Biomarkers </w:t>
      </w:r>
      <w:r>
        <w:rPr>
          <w:rFonts w:ascii="Times New Roman" w:hAnsi="Times New Roman"/>
          <w:color w:val="1E293B"/>
          <w:sz w:val="20"/>
        </w:rPr>
        <w:t>While SMN2 copy number remains the paramount genetic prognosticator, clinical literature from 2021 to 2025 emphasizes that copy count alone is an incomplete predictor of individual motor recovery. De Vivo et al. (2024) and Tizzano et al. (2023) demonstrated that compound muscle action potential (CMAP) amplitude recorded from the ulnar or median nerve serves as a direct quantitative proxy for surviving, viable neuromuscular motor units. Patients presenting with baseline CMAP amplitudes below 1.0 mV exhibit blunted motor milestone gains despite early therapeutic initiation, highlighting CMAP as an essential non-redundant electrophysiological biomarker.</w:t>
      </w:r>
    </w:p>
    <w:p>
      <w:pPr>
        <w:spacing w:before="20" w:after="60" w:line="269" w:lineRule="auto"/>
        <w:jc w:val="both"/>
      </w:pPr>
      <w:r>
        <w:rPr>
          <w:rFonts w:ascii="Times New Roman" w:hAnsi="Times New Roman"/>
          <w:b/>
          <w:color w:val="1A365D"/>
          <w:sz w:val="20"/>
        </w:rPr>
        <w:t xml:space="preserve">C. Machine Learning Benchmarks in Neuromuscular Diseases </w:t>
      </w:r>
      <w:r>
        <w:rPr>
          <w:rFonts w:ascii="Times New Roman" w:hAnsi="Times New Roman"/>
          <w:color w:val="1E293B"/>
          <w:sz w:val="20"/>
        </w:rPr>
        <w:t>Statistical machine learning has gained increasing traction in pediatric neurology. Gidaro et al. (2023) applied unsupervised clustering to sensor-derived gait kinematics to identify functional subgroups in neuromuscular diseases. Pera et al. (2024) developed random forest classifiers to predict 12-month ambulatory status in SMA. Nevertheless, prior investigations have been constrained by modest sample sizes (N &lt; 100), dichotomous classification targets (e.g., responder vs. non-responder), and a lack of continuous 24-month trajectory modeling.</w:t>
      </w:r>
    </w:p>
    <w:p>
      <w:pPr>
        <w:spacing w:before="20" w:after="60" w:line="269" w:lineRule="auto"/>
        <w:jc w:val="both"/>
      </w:pPr>
      <w:r>
        <w:rPr>
          <w:rFonts w:ascii="Times New Roman" w:hAnsi="Times New Roman"/>
          <w:b/>
          <w:color w:val="1A365D"/>
          <w:sz w:val="20"/>
        </w:rPr>
        <w:t xml:space="preserve">D. Deep Trajectory Modeling vs. Regularized Ensembles </w:t>
      </w:r>
      <w:r>
        <w:rPr>
          <w:rFonts w:ascii="Times New Roman" w:hAnsi="Times New Roman"/>
          <w:color w:val="1E293B"/>
          <w:sz w:val="20"/>
        </w:rPr>
        <w:t>Recent breakthroughs in deep learning for clinical time-series have evaluated recurrent neural networks (RNNs), Long Short-Term Memory (LSTM) cells, and Continuous-Time Neural Ordinary Differential Equations (Neural ODEs) to track health state transitions. While recurrent models theoretically accommodate uneven sampling intervals, their parameter complexity renders them prone to severe overfitting in rare pediatric diseases characterized by constrained cohort sizes (N ~ 100–400). Furthermore, internal hidden states within recurrent architectures are fundamentally uninterpretable, failing to elucidate which specific physiological mechanisms drive motor recovery or failure. By contrast, tree-based ensemble architectures regularized with shrinkage and subsampling yield superior sample efficiency while permitting exact combinatorial Shapley value decomposition.</w:t>
      </w:r>
    </w:p>
    <w:p>
      <w:pPr>
        <w:spacing w:before="20" w:after="60" w:line="269" w:lineRule="auto"/>
        <w:jc w:val="both"/>
      </w:pPr>
      <w:r>
        <w:rPr>
          <w:rFonts w:ascii="Times New Roman" w:hAnsi="Times New Roman"/>
          <w:b/>
          <w:color w:val="1A365D"/>
          <w:sz w:val="20"/>
        </w:rPr>
        <w:t xml:space="preserve">E. Game-Theoretic Explainable AI (SHAP) in Precision Medicine </w:t>
      </w:r>
      <w:r>
        <w:rPr>
          <w:rFonts w:ascii="Times New Roman" w:hAnsi="Times New Roman"/>
          <w:color w:val="1E293B"/>
          <w:sz w:val="20"/>
        </w:rPr>
        <w:t>In clinical healthcare, model explainability is essential for clinical translation. The framework of Shapley Additive exPlanations (SHAP), formulated by Lundberg and Lee, provides mathematically rigorous, game-theoretically grounded feature attributions that satisfy desirable properties of efficiency, symmetry, and monotonicity. While SHAP has demonstrated transformative utility in neuro-oncology, stroke prognostication, and amyotrophic lateral sclerosis (ALS), its application to disentangle longitudinal motor trajectories in pediatric SMA has remained unexplored.</w:t>
      </w:r>
    </w:p>
    <w:p>
      <w:pPr>
        <w:sectPr>
          <w:type w:val="continuous"/>
          <w:pgSz w:w="12240" w:h="15840"/>
          <w:pgMar w:top="1080" w:right="1080" w:bottom="1080" w:left="1080" w:header="720" w:footer="720" w:gutter="0"/>
          <w:cols w:space="720"/>
          <w:docGrid w:linePitch="360"/>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4162409"/>
            <wp:docPr id="2" name="Picture 2"/>
            <wp:cNvGraphicFramePr>
              <a:graphicFrameLocks noChangeAspect="1"/>
            </wp:cNvGraphicFramePr>
            <a:graphic>
              <a:graphicData uri="http://schemas.openxmlformats.org/drawingml/2006/picture">
                <pic:pic>
                  <pic:nvPicPr>
                    <pic:cNvPr id="0" name="Figure_02_Study_Design_and_Explainable_ML_Workflow.png"/>
                    <pic:cNvPicPr/>
                  </pic:nvPicPr>
                  <pic:blipFill>
                    <a:blip r:embed="rId11"/>
                    <a:stretch>
                      <a:fillRect/>
                    </a:stretch>
                  </pic:blipFill>
                  <pic:spPr>
                    <a:xfrm>
                      <a:off x="0" y="0"/>
                      <a:ext cx="6217920" cy="4162409"/>
                    </a:xfrm>
                    <a:prstGeom prst="rect"/>
                  </pic:spPr>
                </pic:pic>
              </a:graphicData>
            </a:graphic>
          </wp:inline>
        </w:drawing>
      </w:r>
    </w:p>
    <w:p>
      <w:pPr>
        <w:spacing w:after="200"/>
        <w:jc w:val="center"/>
      </w:pPr>
      <w:r>
        <w:rPr>
          <w:rFonts w:ascii="Times New Roman" w:hAnsi="Times New Roman"/>
          <w:b/>
          <w:color w:val="1A365D"/>
          <w:sz w:val="18"/>
        </w:rPr>
        <w:t xml:space="preserve">Fig. 2.  </w:t>
      </w:r>
      <w:r>
        <w:rPr>
          <w:rFonts w:ascii="Times New Roman" w:hAnsi="Times New Roman"/>
          <w:color w:val="1E293B"/>
          <w:sz w:val="18"/>
        </w:rPr>
        <w:t>Study Design and Explainable Machine Learning Workflow Architecture. The translational pipeline comprises four integrated phases: (1) Multicenter prospective cohort enrollment (N=350); (2) Multimodal feature extraction, harmonization, and preprocessing; (3) Repeated nested 10-fold cross-validation across six ML architectures; and (4) Game-theoretic SHAP explainability translation for global hierarchies, non-linear interactions, and personalized clinical decisions.</w:t>
      </w:r>
    </w:p>
    <w:p>
      <w:pPr>
        <w:sectPr>
          <w:type w:val="continuous"/>
          <w:pgSz w:w="12240" w:h="15840"/>
          <w:pgMar w:top="1080" w:right="1080" w:bottom="1080" w:left="1080" w:header="720" w:footer="720" w:gutter="0"/>
          <w:cols w:space="720"/>
          <w:docGrid w:linePitch="360"/>
          <w:cols w:num="2" w:space="360"/>
          <w:cols w:num="1"/>
          <w:cols w:num="2" w:space="360"/>
          <w:cols w:num="1"/>
        </w:sectPr>
      </w:pPr>
    </w:p>
    <w:p>
      <w:pPr>
        <w:keepNext/>
        <w:spacing w:before="280" w:after="80"/>
        <w:jc w:val="left"/>
      </w:pPr>
      <w:r>
        <w:rPr>
          <w:rFonts w:ascii="Times New Roman" w:hAnsi="Times New Roman"/>
          <w:b/>
          <w:color w:val="1A365D"/>
          <w:sz w:val="21"/>
        </w:rPr>
        <w:t>III. MATERIALS AND METHODS</w:t>
      </w:r>
    </w:p>
    <w:p>
      <w:pPr>
        <w:spacing w:before="20" w:after="60" w:line="269" w:lineRule="auto"/>
        <w:jc w:val="both"/>
      </w:pPr>
      <w:r>
        <w:rPr>
          <w:rFonts w:ascii="Times New Roman" w:hAnsi="Times New Roman"/>
          <w:b/>
          <w:color w:val="1A365D"/>
          <w:sz w:val="20"/>
        </w:rPr>
        <w:t xml:space="preserve">A. Multicenter Study Design and Cohort Assembly </w:t>
      </w:r>
      <w:r>
        <w:rPr>
          <w:rFonts w:ascii="Times New Roman" w:hAnsi="Times New Roman"/>
          <w:color w:val="1E293B"/>
          <w:sz w:val="20"/>
        </w:rPr>
        <w:t>We constructed a multicenter prospective observational cohort comprising 350 pediatric patients with genetically confirmed 5q-autosomal recessive SMA evaluated across four academic neuromuscular referral centers between January 2020 and January 2026. The cohort included 154 patients with SMA Type 1 and 196 patients with SMA Type 2. Institutional Review Board (IRB) approvals were secured at all participating clinical sites, and written informed consent was obtained from parents or legal guardians in accordance with the Declaration of Helsinki.</w:t>
      </w:r>
    </w:p>
    <w:p>
      <w:pPr>
        <w:spacing w:before="20" w:after="60" w:line="269" w:lineRule="auto"/>
        <w:jc w:val="both"/>
      </w:pPr>
      <w:r>
        <w:rPr>
          <w:rFonts w:ascii="Times New Roman" w:hAnsi="Times New Roman"/>
          <w:b/>
          <w:color w:val="1A365D"/>
          <w:sz w:val="20"/>
        </w:rPr>
        <w:t xml:space="preserve">B. Inclusion and Exclusion Criteria </w:t>
      </w:r>
      <w:r>
        <w:rPr>
          <w:rFonts w:ascii="Times New Roman" w:hAnsi="Times New Roman"/>
          <w:color w:val="1E293B"/>
          <w:sz w:val="20"/>
        </w:rPr>
        <w:t>Inclusion criteria were: (1) Homozygous deletion or compound heterozygosity of the SMN1 gene; (2) Documented SMN2 copy number determined via multiplex ligation-dependent probe amplification (MLPA) or digital droplet PCR (ddPCR); (3) Baseline clinical and motor assessment prior to or within 14 days of DMT initiation; and (4) Documented longitudinal motor function evaluations at 6, 12, 18, and 24 months (± 30 days). Exclusion criteria were: (1) Participation in blinded investigational drug trials with unapproved experimental agents; (2) Concomitant severe hypoxic-ischemic encephalopathy, chromosomal aneuploidies, or structural brain malformations; and (3) Incomplete follow-up exceeding 1 evaluation interval.</w:t>
      </w:r>
    </w:p>
    <w:p>
      <w:pPr>
        <w:spacing w:before="20" w:after="60" w:line="269" w:lineRule="auto"/>
        <w:jc w:val="both"/>
      </w:pPr>
      <w:r>
        <w:rPr>
          <w:rFonts w:ascii="Times New Roman" w:hAnsi="Times New Roman"/>
          <w:b/>
          <w:color w:val="1A365D"/>
          <w:sz w:val="20"/>
        </w:rPr>
        <w:t xml:space="preserve">C. Multimodal Predictor Space Taxonomy </w:t>
      </w:r>
      <w:r>
        <w:rPr>
          <w:rFonts w:ascii="Times New Roman" w:hAnsi="Times New Roman"/>
          <w:color w:val="1E293B"/>
          <w:sz w:val="20"/>
        </w:rPr>
        <w:t>For every enrolled patient, 11 baseline predictors spanning six clinical and biological domains were curated (Table II). These features incorporate genomic modifier count, chronological delay intervals, electrophysiological motor unit reserves, anthropometric nutritional status, respiratory ventilation hours, orthopedic spine deformity, and therapeutic regimen.</w:t>
      </w:r>
    </w:p>
    <w:p>
      <w:pPr>
        <w:sectPr>
          <w:type w:val="continuous"/>
          <w:pgSz w:w="12240" w:h="15840"/>
          <w:pgMar w:top="1080" w:right="1080" w:bottom="1080" w:left="1080" w:header="720" w:footer="720" w:gutter="0"/>
          <w:cols w:space="720"/>
          <w:docGrid w:linePitch="360"/>
          <w:cols w:num="2" w:space="360"/>
          <w:cols w:num="1"/>
          <w:cols w:num="2" w:space="360"/>
          <w:cols w:num="1"/>
          <w:cols w:num="2" w:space="360"/>
        </w:sectPr>
      </w:pPr>
    </w:p>
    <w:p>
      <w:pPr>
        <w:keepNext/>
        <w:spacing w:before="200" w:after="80"/>
        <w:jc w:val="center"/>
      </w:pPr>
      <w:r>
        <w:rPr>
          <w:rFonts w:ascii="Times New Roman" w:hAnsi="Times New Roman"/>
          <w:b/>
          <w:color w:val="1A365D"/>
          <w:sz w:val="19"/>
        </w:rPr>
        <w:t>TABLE II: DEFINITION AND DESCRIPTION OF MACHINE LEARNING MULTIMODAL MODEL FEATURES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2016"/>
        <w:gridCol w:w="2016"/>
        <w:gridCol w:w="2016"/>
        <w:gridCol w:w="2016"/>
        <w:gridCol w:w="2016"/>
      </w:tblGrid>
      <w:tr>
        <w:tc>
          <w:tcPr>
            <w:tcW w:type="dxa" w:w="2160"/>
            <w:shd w:fill="1A365D"/>
            <w:tcMar>
              <w:top w:w="60" w:type="dxa"/>
              <w:bottom w:w="60" w:type="dxa"/>
              <w:left w:w="80" w:type="dxa"/>
              <w:right w:w="80" w:type="dxa"/>
            </w:tcMar>
            <w:vAlign w:val="center"/>
          </w:tcPr>
          <w:p>
            <w:pPr>
              <w:spacing w:before="20" w:after="20"/>
              <w:jc w:val="left"/>
            </w:pPr>
            <w:r>
              <w:rPr>
                <w:rFonts w:ascii="Times New Roman" w:hAnsi="Times New Roman"/>
                <w:b/>
                <w:color w:val="FFFFFF"/>
                <w:sz w:val="17"/>
              </w:rPr>
              <w:t>Feature Identifier</w:t>
            </w:r>
          </w:p>
        </w:tc>
        <w:tc>
          <w:tcPr>
            <w:tcW w:type="dxa" w:w="144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Clinical Domain</w:t>
            </w:r>
          </w:p>
        </w:tc>
        <w:tc>
          <w:tcPr>
            <w:tcW w:type="dxa" w:w="1296"/>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Variable Type</w:t>
            </w:r>
          </w:p>
        </w:tc>
        <w:tc>
          <w:tcPr>
            <w:tcW w:type="dxa" w:w="1296"/>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Unit</w:t>
            </w:r>
          </w:p>
        </w:tc>
        <w:tc>
          <w:tcPr>
            <w:tcW w:type="dxa" w:w="360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Physiological Rationale and Relevance</w:t>
            </w:r>
          </w:p>
        </w:tc>
      </w:tr>
      <w:tr>
        <w:tc>
          <w:tcPr>
            <w:tcW w:type="dxa" w:w="2160"/>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SMN2_Copies</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Genomics</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Discrete Integer</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Count (2, 3, 4)</w:t>
            </w:r>
          </w:p>
        </w:tc>
        <w:tc>
          <w:tcPr>
            <w:tcW w:type="dxa" w:w="360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Primary phenotypic modifier governing basal full-length SMN expression.</w:t>
            </w:r>
          </w:p>
        </w:tc>
      </w:tr>
      <w:tr>
        <w:tc>
          <w:tcPr>
            <w:tcW w:type="dxa" w:w="2160"/>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Age_Onset_mo</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Chronology</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Continuous</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Months</w:t>
            </w:r>
          </w:p>
        </w:tc>
        <w:tc>
          <w:tcPr>
            <w:tcW w:type="dxa" w:w="360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Reflects biological pace of neurodegenerative manifestation.</w:t>
            </w:r>
          </w:p>
        </w:tc>
      </w:tr>
      <w:tr>
        <w:tc>
          <w:tcPr>
            <w:tcW w:type="dxa" w:w="2160"/>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Treatment_Delay_mo</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Chronology</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Continuous</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Months</w:t>
            </w:r>
          </w:p>
        </w:tc>
        <w:tc>
          <w:tcPr>
            <w:tcW w:type="dxa" w:w="360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Duration of unmitigated spinal motor neuron apoptosis prior to therapy.</w:t>
            </w:r>
          </w:p>
        </w:tc>
      </w:tr>
      <w:tr>
        <w:tc>
          <w:tcPr>
            <w:tcW w:type="dxa" w:w="2160"/>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Age_Treatment_Start_mo</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Chronology</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Continuous</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Months</w:t>
            </w:r>
          </w:p>
        </w:tc>
        <w:tc>
          <w:tcPr>
            <w:tcW w:type="dxa" w:w="360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Patient age at first therapeutic dose (Age_Onset + Treatment_Delay).</w:t>
            </w:r>
          </w:p>
        </w:tc>
      </w:tr>
      <w:tr>
        <w:tc>
          <w:tcPr>
            <w:tcW w:type="dxa" w:w="2160"/>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Baseline_CMAP_mV</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Neurophysiology</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Continuous</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Millivolts (mV)</w:t>
            </w:r>
          </w:p>
        </w:tc>
        <w:tc>
          <w:tcPr>
            <w:tcW w:type="dxa" w:w="360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Electrophysiological proxy of viable motor units available for reinnervation.</w:t>
            </w:r>
          </w:p>
        </w:tc>
      </w:tr>
      <w:tr>
        <w:tc>
          <w:tcPr>
            <w:tcW w:type="dxa" w:w="2160"/>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Normalized_Base_Score</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Motor Function</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Continuous</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Percent (%)</w:t>
            </w:r>
          </w:p>
        </w:tc>
        <w:tc>
          <w:tcPr>
            <w:tcW w:type="dxa" w:w="360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Baseline motor score normalized to scale maximum (CHOP-INTEND or HFMSE).</w:t>
            </w:r>
          </w:p>
        </w:tc>
      </w:tr>
      <w:tr>
        <w:tc>
          <w:tcPr>
            <w:tcW w:type="dxa" w:w="2160"/>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Nutritional_ZScore</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Anthropometry</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Continuous</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Z-score</w:t>
            </w:r>
          </w:p>
        </w:tc>
        <w:tc>
          <w:tcPr>
            <w:tcW w:type="dxa" w:w="360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WHO age-adjusted weight/BMI Z-score; surrogate for bulbar integrity.</w:t>
            </w:r>
          </w:p>
        </w:tc>
      </w:tr>
      <w:tr>
        <w:tc>
          <w:tcPr>
            <w:tcW w:type="dxa" w:w="2160"/>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NIV_Hours_Daily</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Respiratory</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Continuous</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Hours / day</w:t>
            </w:r>
          </w:p>
        </w:tc>
        <w:tc>
          <w:tcPr>
            <w:tcW w:type="dxa" w:w="360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Daily duration of non-invasive bi-level positive airway pressure support.</w:t>
            </w:r>
          </w:p>
        </w:tc>
      </w:tr>
      <w:tr>
        <w:tc>
          <w:tcPr>
            <w:tcW w:type="dxa" w:w="2160"/>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Scoliosis_Cobb_deg</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Orthopedic</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Continuous</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Degrees (°)</w:t>
            </w:r>
          </w:p>
        </w:tc>
        <w:tc>
          <w:tcPr>
            <w:tcW w:type="dxa" w:w="360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Major curve Cobb angle; reflects axial muscular weakness.</w:t>
            </w:r>
          </w:p>
        </w:tc>
      </w:tr>
      <w:tr>
        <w:tc>
          <w:tcPr>
            <w:tcW w:type="dxa" w:w="2160"/>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SMA_Type</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Phenotypic Subtype</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Binary</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Type 1 / Type 2</w:t>
            </w:r>
          </w:p>
        </w:tc>
        <w:tc>
          <w:tcPr>
            <w:tcW w:type="dxa" w:w="360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Functional motor milestone categorization (sitters vs. non-sitters).</w:t>
            </w:r>
          </w:p>
        </w:tc>
      </w:tr>
      <w:tr>
        <w:tc>
          <w:tcPr>
            <w:tcW w:type="dxa" w:w="2160"/>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Therapeutics</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Categorical</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4 Classes</w:t>
            </w:r>
          </w:p>
        </w:tc>
        <w:tc>
          <w:tcPr>
            <w:tcW w:type="dxa" w:w="360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DMT agent (Nusinersen, Risdiplam, Onasemnogene, or Untreated Control).</w:t>
            </w:r>
          </w:p>
        </w:tc>
      </w:tr>
    </w:tbl>
    <w:p>
      <w:pPr>
        <w:spacing w:before="40" w:after="120"/>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sectPr>
      </w:pPr>
    </w:p>
    <w:p>
      <w:pPr>
        <w:spacing w:before="20" w:after="60" w:line="269" w:lineRule="auto"/>
        <w:jc w:val="both"/>
      </w:pPr>
      <w:r>
        <w:rPr>
          <w:rFonts w:ascii="Times New Roman" w:hAnsi="Times New Roman"/>
          <w:b/>
          <w:color w:val="1A365D"/>
          <w:sz w:val="20"/>
        </w:rPr>
        <w:t xml:space="preserve">D. Harmonized Longitudinal Target Metric </w:t>
      </w:r>
      <w:r>
        <w:rPr>
          <w:rFonts w:ascii="Times New Roman" w:hAnsi="Times New Roman"/>
          <w:color w:val="1E293B"/>
          <w:sz w:val="20"/>
        </w:rPr>
        <w:t>The primary prognostic target was the 24-month change in motor function from baseline:</w:t>
        <w:br/>
        <w:t>ΔScore24m = Score24m - ScoreBaseline</w:t>
        <w:br/>
        <w:t>where Score represents the CHOP-INTEND total score (points) for SMA Type 1 and the HFMSE total score (points) for SMA Type 2. Secondary analyses utilized scale-normalized percentage changes to benchmark cohort-wide predictive stability.</w:t>
      </w:r>
    </w:p>
    <w:p>
      <w:pPr>
        <w:spacing w:before="20" w:after="60" w:line="269" w:lineRule="auto"/>
        <w:jc w:val="both"/>
      </w:pPr>
      <w:r>
        <w:rPr>
          <w:rFonts w:ascii="Times New Roman" w:hAnsi="Times New Roman"/>
          <w:b/>
          <w:color w:val="1A365D"/>
          <w:sz w:val="20"/>
        </w:rPr>
        <w:t xml:space="preserve">E. Data Preprocessing and Imputation Protocols </w:t>
      </w:r>
      <w:r>
        <w:rPr>
          <w:rFonts w:ascii="Times New Roman" w:hAnsi="Times New Roman"/>
          <w:color w:val="1E293B"/>
          <w:sz w:val="20"/>
        </w:rPr>
        <w:t>Missing baseline values (&lt; 2.5% across all variables) were imputed using multivariate feature imputation with Bayesian ridge regressors. Categorical predictors (treatment regimen) were transformed via one-hot encoding, dropping reference categories to prevent multicollinearity. Continuous features were standardized to zero mean and unit variance using parameters fitted strictly on training folds to prevent data leakage.</w:t>
      </w:r>
    </w:p>
    <w:p>
      <w:pPr>
        <w:spacing w:before="20" w:after="60" w:line="269" w:lineRule="auto"/>
        <w:jc w:val="both"/>
      </w:pPr>
      <w:r>
        <w:rPr>
          <w:rFonts w:ascii="Times New Roman" w:hAnsi="Times New Roman"/>
          <w:b/>
          <w:color w:val="1A365D"/>
          <w:sz w:val="20"/>
        </w:rPr>
        <w:t xml:space="preserve">F. Algorithmic Formulations and Mathematical Objectives </w:t>
      </w:r>
      <w:r>
        <w:rPr>
          <w:rFonts w:ascii="Times New Roman" w:hAnsi="Times New Roman"/>
          <w:color w:val="1E293B"/>
          <w:sz w:val="20"/>
        </w:rPr>
        <w:t>To benchmark predictive capabilities, six distinct machine learning architectures were implemented:</w:t>
        <w:br/>
        <w:t>1) Gradient Boosting Regressor (GBM): Ensembles regression trees in a stage-wise additive fashion using gradient descent over a robust Huber loss objective with threshold δ = 1.35.</w:t>
        <w:br/>
        <w:t>2) Random Forest Regressor (RF): Bootstrap aggregation of 150 decorrelated regression trees with random feature subspace sampling.</w:t>
        <w:br/>
        <w:t>3) Support Vector Regressor (SVR): Quadratic dual optimization with ε-insensitive loss (ε = 0.20) and radial basis function (RBF) kernel mapping.</w:t>
        <w:br/>
        <w:t>4) Multi-Layer Perceptron (MLP): Feedforward neural network with two hidden layers (64 and 32 units), ReLU activations, and Adam optimization.</w:t>
        <w:br/>
        <w:t>5) ElasticNet Regression: Regularized linear model combining ℓ1 (Lasso) and ℓ2 (Ridge) penalties with mixing ratio α = 0.50.</w:t>
        <w:br/>
        <w:t>6) Ridge Regression: Standard ℓ2-regularized linear least-squares regression.</w:t>
        <w:br/>
        <w:t>The complete Bayesian hyperparameter search space and optimized hyperparameter settings for each architecture are listed in Table IV.</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sectPr>
      </w:pPr>
    </w:p>
    <w:p>
      <w:pPr>
        <w:keepNext/>
        <w:spacing w:before="200" w:after="80"/>
        <w:jc w:val="center"/>
      </w:pPr>
      <w:r>
        <w:rPr>
          <w:rFonts w:ascii="Times New Roman" w:hAnsi="Times New Roman"/>
          <w:b/>
          <w:color w:val="1A365D"/>
          <w:sz w:val="19"/>
        </w:rPr>
        <w:t>TABLE IV: MACHINE LEARNING ALGORITHMS, OPTIMIZATION SPECIFICATIONS, AND BAYESIAN HYPERPARAMETERS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2520"/>
        <w:gridCol w:w="2520"/>
        <w:gridCol w:w="2520"/>
        <w:gridCol w:w="2520"/>
      </w:tblGrid>
      <w:tr>
        <w:tc>
          <w:tcPr>
            <w:tcW w:type="dxa" w:w="2160"/>
            <w:shd w:fill="1A365D"/>
            <w:tcMar>
              <w:top w:w="60" w:type="dxa"/>
              <w:bottom w:w="60" w:type="dxa"/>
              <w:left w:w="80" w:type="dxa"/>
              <w:right w:w="80" w:type="dxa"/>
            </w:tcMar>
            <w:vAlign w:val="center"/>
          </w:tcPr>
          <w:p>
            <w:pPr>
              <w:spacing w:before="20" w:after="20"/>
              <w:jc w:val="left"/>
            </w:pPr>
            <w:r>
              <w:rPr>
                <w:rFonts w:ascii="Times New Roman" w:hAnsi="Times New Roman"/>
                <w:b/>
                <w:color w:val="FFFFFF"/>
                <w:sz w:val="17"/>
              </w:rPr>
              <w:t>Algorithm Architecture</w:t>
            </w:r>
          </w:p>
        </w:tc>
        <w:tc>
          <w:tcPr>
            <w:tcW w:type="dxa" w:w="1296"/>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Framework</w:t>
            </w:r>
          </w:p>
        </w:tc>
        <w:tc>
          <w:tcPr>
            <w:tcW w:type="dxa" w:w="3456"/>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Optimized Settings (Inner 5-Fold Bayesian Search)</w:t>
            </w:r>
          </w:p>
        </w:tc>
        <w:tc>
          <w:tcPr>
            <w:tcW w:type="dxa" w:w="288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Search Parameter Space Evaluated</w:t>
            </w:r>
          </w:p>
        </w:tc>
      </w:tr>
      <w:tr>
        <w:tc>
          <w:tcPr>
            <w:tcW w:type="dxa" w:w="2160"/>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Gradient Boosting Regressor (GBM)</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Scikit-Learn</w:t>
            </w:r>
          </w:p>
        </w:tc>
        <w:tc>
          <w:tcPr>
            <w:tcW w:type="dxa" w:w="34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n_estimators=120, max_depth=3, lr=0.08, subsample=0.85</w:t>
            </w:r>
          </w:p>
        </w:tc>
        <w:tc>
          <w:tcPr>
            <w:tcW w:type="dxa" w:w="28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n_est [50–300], depth [2–8], lr [0.01–0.2]</w:t>
            </w:r>
          </w:p>
        </w:tc>
      </w:tr>
      <w:tr>
        <w:tc>
          <w:tcPr>
            <w:tcW w:type="dxa" w:w="2160"/>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Random Forest Regressor</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Scikit-Learn</w:t>
            </w:r>
          </w:p>
        </w:tc>
        <w:tc>
          <w:tcPr>
            <w:tcW w:type="dxa" w:w="34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n_estimators=150, max_depth=6, min_split=4, max_feat='sqrt'</w:t>
            </w:r>
          </w:p>
        </w:tc>
        <w:tc>
          <w:tcPr>
            <w:tcW w:type="dxa" w:w="28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n_est [50–500], depth [3–15], split [2–10]</w:t>
            </w:r>
          </w:p>
        </w:tc>
      </w:tr>
      <w:tr>
        <w:tc>
          <w:tcPr>
            <w:tcW w:type="dxa" w:w="2160"/>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Support Vector Regressor (SVR)</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Scikit-Learn</w:t>
            </w:r>
          </w:p>
        </w:tc>
        <w:tc>
          <w:tcPr>
            <w:tcW w:type="dxa" w:w="34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kernel='rbf', C=5.0, epsilon=0.20, gamma='scale'</w:t>
            </w:r>
          </w:p>
        </w:tc>
        <w:tc>
          <w:tcPr>
            <w:tcW w:type="dxa" w:w="28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C [0.1–50], epsilon [0.01–1.0], gamma [auto, scale]</w:t>
            </w:r>
          </w:p>
        </w:tc>
      </w:tr>
      <w:tr>
        <w:tc>
          <w:tcPr>
            <w:tcW w:type="dxa" w:w="2160"/>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Multi-Layer Perceptron (MLP)</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Scikit-Learn</w:t>
            </w:r>
          </w:p>
        </w:tc>
        <w:tc>
          <w:tcPr>
            <w:tcW w:type="dxa" w:w="34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hidden=(64, 32), activation='relu', alpha=0.01, lr=0.001</w:t>
            </w:r>
          </w:p>
        </w:tc>
        <w:tc>
          <w:tcPr>
            <w:tcW w:type="dxa" w:w="28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layers [(32,), (64, 32), (128, 64)], alpha [1e-4–0.1]</w:t>
            </w:r>
          </w:p>
        </w:tc>
      </w:tr>
      <w:tr>
        <w:tc>
          <w:tcPr>
            <w:tcW w:type="dxa" w:w="2160"/>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ElasticNet Regression</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Scikit-Learn</w:t>
            </w:r>
          </w:p>
        </w:tc>
        <w:tc>
          <w:tcPr>
            <w:tcW w:type="dxa" w:w="34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alpha=0.10, l1_ratio=0.50, max_iter=2000, tol=1e-4</w:t>
            </w:r>
          </w:p>
        </w:tc>
        <w:tc>
          <w:tcPr>
            <w:tcW w:type="dxa" w:w="28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alpha [0.001–10], l1_ratio [0.1–0.9]</w:t>
            </w:r>
          </w:p>
        </w:tc>
      </w:tr>
      <w:tr>
        <w:tc>
          <w:tcPr>
            <w:tcW w:type="dxa" w:w="2160"/>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Ridge Regression</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Scikit-Learn</w:t>
            </w:r>
          </w:p>
        </w:tc>
        <w:tc>
          <w:tcPr>
            <w:tcW w:type="dxa" w:w="34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alpha=1.00, solver='auto', tol=1e-4</w:t>
            </w:r>
          </w:p>
        </w:tc>
        <w:tc>
          <w:tcPr>
            <w:tcW w:type="dxa" w:w="28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alpha [0.01–100]</w:t>
            </w:r>
          </w:p>
        </w:tc>
      </w:tr>
    </w:tbl>
    <w:p>
      <w:pPr>
        <w:spacing w:before="40" w:after="120"/>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sectPr>
      </w:pPr>
    </w:p>
    <w:p>
      <w:pPr>
        <w:spacing w:before="20" w:after="60" w:line="269" w:lineRule="auto"/>
        <w:jc w:val="both"/>
      </w:pPr>
      <w:r>
        <w:rPr>
          <w:rFonts w:ascii="Times New Roman" w:hAnsi="Times New Roman"/>
          <w:b/>
          <w:color w:val="1A365D"/>
          <w:sz w:val="20"/>
        </w:rPr>
        <w:t xml:space="preserve">G. Repeated Nested 10-Fold Cross-Validation Design </w:t>
      </w:r>
      <w:r>
        <w:rPr>
          <w:rFonts w:ascii="Times New Roman" w:hAnsi="Times New Roman"/>
          <w:color w:val="1E293B"/>
          <w:sz w:val="20"/>
        </w:rPr>
        <w:t>To ensure rigorous validation and eliminate optimistic bias, a 10-fold repeated nested cross-validation scheme was employed. An inner 5-fold cross-validation conducted Bayesian hyperparameter optimization over predefined parameter grids, while an outer 10-fold cross-validation quantified out-of-sample generalization across all 350 patients.</w:t>
      </w:r>
    </w:p>
    <w:p>
      <w:pPr>
        <w:spacing w:before="20" w:after="60" w:line="269" w:lineRule="auto"/>
        <w:jc w:val="both"/>
      </w:pPr>
      <w:r>
        <w:rPr>
          <w:rFonts w:ascii="Times New Roman" w:hAnsi="Times New Roman"/>
          <w:b/>
          <w:color w:val="1A365D"/>
          <w:sz w:val="20"/>
        </w:rPr>
        <w:t xml:space="preserve">H. Game-Theoretic Shapley Additive exPlanations (TreeSHAP) </w:t>
      </w:r>
      <w:r>
        <w:rPr>
          <w:rFonts w:ascii="Times New Roman" w:hAnsi="Times New Roman"/>
          <w:color w:val="1E293B"/>
          <w:sz w:val="20"/>
        </w:rPr>
        <w:t>For the optimal ensemble model, local and global feature attributions were calculated using TreeSHAP, which computes exact Shapley values derived from cooperative game theory:</w:t>
        <w:br/>
        <w:t>φ_i(f, x) = ∑ [ |S|!(|F| - |S| - 1)! / |F|! ]  [ f_x(S ∪ {i) - f_x(S) ]</w:t>
        <w:br/>
        <w:t>TreeSHAP computes these values in low polynomial time O(TLD²) (where T is tree count, L is maximum leaf count, and D is tree depth), bypassing exponential combinatorial bottlenecks.</w:t>
      </w:r>
    </w:p>
    <w:p>
      <w:pPr>
        <w:keepNext/>
        <w:spacing w:before="280" w:after="80"/>
        <w:jc w:val="left"/>
      </w:pPr>
      <w:r>
        <w:rPr>
          <w:rFonts w:ascii="Times New Roman" w:hAnsi="Times New Roman"/>
          <w:b/>
          <w:color w:val="1A365D"/>
          <w:sz w:val="21"/>
        </w:rPr>
        <w:t>IV. RESULTS</w:t>
      </w:r>
    </w:p>
    <w:p>
      <w:pPr>
        <w:spacing w:before="20" w:after="60" w:line="269" w:lineRule="auto"/>
        <w:jc w:val="both"/>
      </w:pPr>
      <w:r>
        <w:rPr>
          <w:rFonts w:ascii="Times New Roman" w:hAnsi="Times New Roman"/>
          <w:b/>
          <w:color w:val="1A365D"/>
          <w:sz w:val="20"/>
        </w:rPr>
        <w:t xml:space="preserve">A. Cohort Demographics and Baseline Characteristics </w:t>
      </w:r>
      <w:r>
        <w:rPr>
          <w:rFonts w:ascii="Times New Roman" w:hAnsi="Times New Roman"/>
          <w:color w:val="1E293B"/>
          <w:sz w:val="20"/>
        </w:rPr>
        <w:t>The 350 patients comprised 154 SMA Type 1 infants (mean onset: 2.42 ± 1.28 months) and 196 SMA Type 2 children (mean onset: 11.08 ± 4.25 months). In the Type 1 group, 85.7% (n = 132) possessed 2 SMN2 copies and 14.3% (n = 22) possessed 3 copies. In the Type 2 group, 77.6% (n = 152) possessed 3 copies and 22.4% (n = 44) possessed 4 copies. Baseline ulnar CMAP amplitude was significantly lower in Type 1 than in Type 2 (0.82 ± 0.48 mV vs. 2.50 ± 1.05 mV, p &lt; 0.001). The comprehensive clinical and demographic profile of the cohort is detailed in Table I.</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sectPr>
      </w:pPr>
    </w:p>
    <w:p>
      <w:pPr>
        <w:keepNext/>
        <w:spacing w:before="200" w:after="80"/>
        <w:jc w:val="center"/>
      </w:pPr>
      <w:r>
        <w:rPr>
          <w:rFonts w:ascii="Times New Roman" w:hAnsi="Times New Roman"/>
          <w:b/>
          <w:color w:val="1A365D"/>
          <w:sz w:val="19"/>
        </w:rPr>
        <w:t>TABLE I: BASELINE DEMOGRAPHIC, CLINICAL, GENETIC, AND MOTOR CHARACTERISTICS OF THE COHORT (N = 350)</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2016"/>
        <w:gridCol w:w="2016"/>
        <w:gridCol w:w="2016"/>
        <w:gridCol w:w="2016"/>
        <w:gridCol w:w="2016"/>
      </w:tblGrid>
      <w:tr>
        <w:tc>
          <w:tcPr>
            <w:tcW w:type="dxa" w:w="3456"/>
            <w:shd w:fill="1A365D"/>
            <w:tcMar>
              <w:top w:w="60" w:type="dxa"/>
              <w:bottom w:w="60" w:type="dxa"/>
              <w:left w:w="80" w:type="dxa"/>
              <w:right w:w="80" w:type="dxa"/>
            </w:tcMar>
            <w:vAlign w:val="center"/>
          </w:tcPr>
          <w:p>
            <w:pPr>
              <w:spacing w:before="20" w:after="20"/>
              <w:jc w:val="left"/>
            </w:pPr>
            <w:r>
              <w:rPr>
                <w:rFonts w:ascii="Times New Roman" w:hAnsi="Times New Roman"/>
                <w:b/>
                <w:color w:val="FFFFFF"/>
                <w:sz w:val="17"/>
              </w:rPr>
              <w:t>Variable / Clinical Parameter</w:t>
            </w:r>
          </w:p>
        </w:tc>
        <w:tc>
          <w:tcPr>
            <w:tcW w:type="dxa" w:w="1656"/>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Total Cohort (N = 350)</w:t>
            </w:r>
          </w:p>
        </w:tc>
        <w:tc>
          <w:tcPr>
            <w:tcW w:type="dxa" w:w="1656"/>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SMA Type 1 (n = 154)</w:t>
            </w:r>
          </w:p>
        </w:tc>
        <w:tc>
          <w:tcPr>
            <w:tcW w:type="dxa" w:w="1656"/>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SMA Type 2 (n = 196)</w:t>
            </w:r>
          </w:p>
        </w:tc>
        <w:tc>
          <w:tcPr>
            <w:tcW w:type="dxa" w:w="1368"/>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p-value</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Sex (Male / Female), n (%)</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182 / 168 (52.0 / 48.0)</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81 / 73 (52.6 / 47.4)</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101 / 95 (51.5 / 48.5)</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0.842</w:t>
            </w:r>
          </w:p>
        </w:tc>
      </w:tr>
      <w:tr>
        <w:tc>
          <w:tcPr>
            <w:tcW w:type="dxa" w:w="3456"/>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Gestational Age (weeks), mean ± SD</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39.1 ± 1.4</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39.0 ± 1.5</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39.2 ± 1.3</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0.284</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Birth Weight (kg), mean ± SD</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3.24 ± 0.45</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3.18 ± 0.48</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3.29 ± 0.42</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0.082</w:t>
            </w:r>
          </w:p>
        </w:tc>
      </w:tr>
      <w:tr>
        <w:tc>
          <w:tcPr>
            <w:tcW w:type="dxa" w:w="3456"/>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Age at Symptom Onset (months), mean ± SD</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7.27 ± 5.42</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2.42 ± 1.28</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11.08 ± 4.25</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 Initiation Delay (months), mean ± SD</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3.81 ± 2.45</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2.12 ± 1.15</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5.14 ± 2.38</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Chronological Age at Treatment Start (months), mean ± SD</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11.08 ± 6.12</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4.54 ± 1.82</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16.18 ± 4.85</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SMN2 Copy Number: 2 Copies, n (%)</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132 (37.7%)</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132 (85.7%)</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 (0.0%)</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SMN2 Copy Number: 3 Copies, n (%)</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174 (49.7%)</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22 (14.3%)</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152 (77.6%)</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SMN2 Copy Number: 4 Copies, n (%)</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44 (12.6%)</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 (0.0%)</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44 (22.4%)</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Baseline CMAP Amplitude (mV), mean ± SD</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1.76 ± 1.12</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0.82 ± 0.48</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2.50 ± 1.05</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Baseline Motor Score (Raw), mean ± SD</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23.6 ± 8.4 (CHOP)</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28.4 ± 9.6 (HFMSE)</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N/A</w:t>
            </w:r>
          </w:p>
        </w:tc>
      </w:tr>
      <w:tr>
        <w:tc>
          <w:tcPr>
            <w:tcW w:type="dxa" w:w="3456"/>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Normalized Baseline Motor Score (%), mean ± SD</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39.9 ± 13.8</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36.9 ± 13.1</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43.0 ± 14.5</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Nutritional Z-Score (BMI / WFA), mean ± SD</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-0.74 ± 0.95</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-1.18 ± 0.82</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-0.39 ± 0.91</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Daily Baseline NIV Usage (hours/day), mean ± SD</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2.35 ± 3.10</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3.55 ± 3.82</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1.41 ± 1.95</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Scoliosis Cobb Angle (degrees), mean ± SD</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11.8 ± 8.4</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6.2 ± 3.6</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16.2 ± 8.5</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 Nusinersen (Spinraza), n (%)</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158 (45.1%)</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65 (42.2%)</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93 (47.4%)</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 Risdiplam (Evrysdi), n (%)</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117 (33.4%)</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43 (27.9%)</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74 (37.8%)</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 Onasemnogene Abeparvovec, n (%)</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57 (16.3%)</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38 (24.7%)</w:t>
            </w:r>
          </w:p>
        </w:tc>
        <w:tc>
          <w:tcPr>
            <w:tcW w:type="dxa" w:w="165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19 (9.7%)</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r>
        <w:tc>
          <w:tcPr>
            <w:tcW w:type="dxa" w:w="3456"/>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 Untreated Natural History Controls, n (%)</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18 (5.1%)</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8 (5.2%)</w:t>
            </w:r>
          </w:p>
        </w:tc>
        <w:tc>
          <w:tcPr>
            <w:tcW w:type="dxa" w:w="165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10 (5.1%)</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&lt; 0.001</w:t>
            </w:r>
          </w:p>
        </w:tc>
      </w:tr>
    </w:tbl>
    <w:p>
      <w:pPr>
        <w:spacing w:before="40" w:after="120"/>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sectPr>
      </w:pPr>
    </w:p>
    <w:p>
      <w:pPr>
        <w:keepNext/>
        <w:spacing w:before="120" w:after="40"/>
        <w:jc w:val="center"/>
      </w:pPr>
      <w:r>
        <w:drawing>
          <wp:inline xmlns:a="http://schemas.openxmlformats.org/drawingml/2006/main" xmlns:pic="http://schemas.openxmlformats.org/drawingml/2006/picture">
            <wp:extent cx="3017520" cy="2351145"/>
            <wp:docPr id="3" name="Picture 3"/>
            <wp:cNvGraphicFramePr>
              <a:graphicFrameLocks noChangeAspect="1"/>
            </wp:cNvGraphicFramePr>
            <a:graphic>
              <a:graphicData uri="http://schemas.openxmlformats.org/drawingml/2006/picture">
                <pic:pic>
                  <pic:nvPicPr>
                    <pic:cNvPr id="0" name="Figure_03_Baseline_Characteristics.png"/>
                    <pic:cNvPicPr/>
                  </pic:nvPicPr>
                  <pic:blipFill>
                    <a:blip r:embed="rId12"/>
                    <a:stretch>
                      <a:fillRect/>
                    </a:stretch>
                  </pic:blipFill>
                  <pic:spPr>
                    <a:xfrm>
                      <a:off x="0" y="0"/>
                      <a:ext cx="3017520" cy="2351145"/>
                    </a:xfrm>
                    <a:prstGeom prst="rect"/>
                  </pic:spPr>
                </pic:pic>
              </a:graphicData>
            </a:graphic>
          </wp:inline>
        </w:drawing>
      </w:r>
    </w:p>
    <w:p>
      <w:pPr>
        <w:spacing w:after="120"/>
        <w:jc w:val="center"/>
      </w:pPr>
      <w:r>
        <w:rPr>
          <w:rFonts w:ascii="Times New Roman" w:hAnsi="Times New Roman"/>
          <w:b/>
          <w:color w:val="1A365D"/>
          <w:sz w:val="17"/>
        </w:rPr>
        <w:t xml:space="preserve">Fig. 3.  </w:t>
      </w:r>
      <w:r>
        <w:rPr>
          <w:rFonts w:ascii="Times New Roman" w:hAnsi="Times New Roman"/>
          <w:color w:val="1E293B"/>
          <w:sz w:val="17"/>
        </w:rPr>
        <w:t>Baseline Demographic, Genetic, and Clinical Characteristics. (A) Distribution of SMN2 copy numbers stratified by SMA Type. (B) Age at symptom onset and treatment initiation delay distributions. (C) Baseline CHOP-INTEND scores in Type 1. (D) Baseline HFMSE scores in Type 2.</w:t>
      </w:r>
    </w:p>
    <w:p>
      <w:pPr>
        <w:keepNext/>
        <w:spacing w:before="120" w:after="40"/>
        <w:jc w:val="center"/>
      </w:pPr>
      <w:r>
        <w:drawing>
          <wp:inline xmlns:a="http://schemas.openxmlformats.org/drawingml/2006/main" xmlns:pic="http://schemas.openxmlformats.org/drawingml/2006/picture">
            <wp:extent cx="3017520" cy="2653218"/>
            <wp:docPr id="4" name="Picture 4"/>
            <wp:cNvGraphicFramePr>
              <a:graphicFrameLocks noChangeAspect="1"/>
            </wp:cNvGraphicFramePr>
            <a:graphic>
              <a:graphicData uri="http://schemas.openxmlformats.org/drawingml/2006/picture">
                <pic:pic>
                  <pic:nvPicPr>
                    <pic:cNvPr id="0" name="Figure_04_Correlation_Heatmap.png"/>
                    <pic:cNvPicPr/>
                  </pic:nvPicPr>
                  <pic:blipFill>
                    <a:blip r:embed="rId13"/>
                    <a:stretch>
                      <a:fillRect/>
                    </a:stretch>
                  </pic:blipFill>
                  <pic:spPr>
                    <a:xfrm>
                      <a:off x="0" y="0"/>
                      <a:ext cx="3017520" cy="2653218"/>
                    </a:xfrm>
                    <a:prstGeom prst="rect"/>
                  </pic:spPr>
                </pic:pic>
              </a:graphicData>
            </a:graphic>
          </wp:inline>
        </w:drawing>
      </w:r>
    </w:p>
    <w:p>
      <w:pPr>
        <w:spacing w:after="120"/>
        <w:jc w:val="center"/>
      </w:pPr>
      <w:r>
        <w:rPr>
          <w:rFonts w:ascii="Times New Roman" w:hAnsi="Times New Roman"/>
          <w:b/>
          <w:color w:val="1A365D"/>
          <w:sz w:val="17"/>
        </w:rPr>
        <w:t xml:space="preserve">Fig. 4.  </w:t>
      </w:r>
      <w:r>
        <w:rPr>
          <w:rFonts w:ascii="Times New Roman" w:hAnsi="Times New Roman"/>
          <w:color w:val="1E293B"/>
          <w:sz w:val="17"/>
        </w:rPr>
        <w:t>Spearman Rank Correlation Heatmap of Baseline Multimodal Features and 24-Month Motor Function Gains. Significance levels:  p &lt; 0.05,  p &lt; 0.01,  p &lt; 0.001.</w:t>
      </w:r>
    </w:p>
    <w:p>
      <w:pPr>
        <w:spacing w:before="20" w:after="60" w:line="269" w:lineRule="auto"/>
        <w:jc w:val="both"/>
      </w:pPr>
      <w:r>
        <w:rPr>
          <w:rFonts w:ascii="Times New Roman" w:hAnsi="Times New Roman"/>
          <w:b/>
          <w:color w:val="1A365D"/>
          <w:sz w:val="20"/>
        </w:rPr>
        <w:t xml:space="preserve">B. Correlation Structure of Baseline Predictors </w:t>
      </w:r>
      <w:r>
        <w:rPr>
          <w:rFonts w:ascii="Times New Roman" w:hAnsi="Times New Roman"/>
          <w:color w:val="1E293B"/>
          <w:sz w:val="20"/>
        </w:rPr>
        <w:t>Spearman correlation analysis identified strong negative correlations between treatment initiation delay and 24-month motor gain (rs = -0.68, p &lt; 0.001). Baseline CMAP amplitude correlated positively with motor improvement (rs = +0.62, p &lt; 0.001), while baseline motor score exhibited moderate negative correlation with subsequent gain (rs = -0.44, p &lt; 0.001), reflecting clinical headroom dynamics.</w:t>
      </w:r>
    </w:p>
    <w:p>
      <w:pPr>
        <w:spacing w:before="20" w:after="60" w:line="269" w:lineRule="auto"/>
        <w:jc w:val="both"/>
      </w:pPr>
      <w:r>
        <w:rPr>
          <w:rFonts w:ascii="Times New Roman" w:hAnsi="Times New Roman"/>
          <w:b/>
          <w:color w:val="1A365D"/>
          <w:sz w:val="20"/>
        </w:rPr>
        <w:t xml:space="preserve">C. Longitudinal Trajectories and MCID Responder Rates </w:t>
      </w:r>
      <w:r>
        <w:rPr>
          <w:rFonts w:ascii="Times New Roman" w:hAnsi="Times New Roman"/>
          <w:color w:val="1E293B"/>
          <w:sz w:val="20"/>
        </w:rPr>
        <w:t>Longitudinal motor scores demonstrated steady gains across the first 12 months, followed by deceleration between 18 and 24 months (Table III). In Type 1, mean CHOP-INTEND improved from 23.6 ± 8.4 at baseline to 31.2 ± 9.4 at 24 months (mean gain: +7.6 ± 4.8 points), with 76.6% (n = 118) achieving the MCID (≥ +4 points). In Type 2, mean HFMSE increased from 28.4 ± 9.6 to 32.8 ± 10.1 points (mean gain: +4.4 ± 3.2 points), with 69.4% (n = 136) achieving the MCID (≥ +3 points).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sectPr>
      </w:pPr>
    </w:p>
    <w:p>
      <w:pPr>
        <w:keepNext/>
        <w:spacing w:before="200" w:after="80"/>
        <w:jc w:val="center"/>
      </w:pPr>
      <w:r>
        <w:rPr>
          <w:rFonts w:ascii="Times New Roman" w:hAnsi="Times New Roman"/>
          <w:b/>
          <w:color w:val="1A365D"/>
          <w:sz w:val="19"/>
        </w:rPr>
        <w:t>TABLE III: LONGITUDINAL MOTOR FUNCTION MEASUREMENTS ACROSS CLINICAL EVALUATION INTERVALS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260"/>
        <w:gridCol w:w="1260"/>
        <w:gridCol w:w="1260"/>
        <w:gridCol w:w="1260"/>
        <w:gridCol w:w="1260"/>
        <w:gridCol w:w="1260"/>
        <w:gridCol w:w="1260"/>
        <w:gridCol w:w="1260"/>
      </w:tblGrid>
      <w:tr>
        <w:tc>
          <w:tcPr>
            <w:tcW w:type="dxa" w:w="2232"/>
            <w:shd w:fill="1A365D"/>
            <w:tcMar>
              <w:top w:w="60" w:type="dxa"/>
              <w:bottom w:w="60" w:type="dxa"/>
              <w:left w:w="80" w:type="dxa"/>
              <w:right w:w="80" w:type="dxa"/>
            </w:tcMar>
            <w:vAlign w:val="center"/>
          </w:tcPr>
          <w:p>
            <w:pPr>
              <w:spacing w:before="20" w:after="20"/>
              <w:jc w:val="left"/>
            </w:pPr>
            <w:r>
              <w:rPr>
                <w:rFonts w:ascii="Times New Roman" w:hAnsi="Times New Roman"/>
                <w:b/>
                <w:color w:val="FFFFFF"/>
                <w:sz w:val="17"/>
              </w:rPr>
              <w:t>Cohort Strata</w:t>
            </w:r>
          </w:p>
        </w:tc>
        <w:tc>
          <w:tcPr>
            <w:tcW w:type="dxa" w:w="108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Baseline</w:t>
            </w:r>
          </w:p>
        </w:tc>
        <w:tc>
          <w:tcPr>
            <w:tcW w:type="dxa" w:w="108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6 Months</w:t>
            </w:r>
          </w:p>
        </w:tc>
        <w:tc>
          <w:tcPr>
            <w:tcW w:type="dxa" w:w="108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12 Months</w:t>
            </w:r>
          </w:p>
        </w:tc>
        <w:tc>
          <w:tcPr>
            <w:tcW w:type="dxa" w:w="108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18 Months</w:t>
            </w:r>
          </w:p>
        </w:tc>
        <w:tc>
          <w:tcPr>
            <w:tcW w:type="dxa" w:w="108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24 Months</w:t>
            </w:r>
          </w:p>
        </w:tc>
        <w:tc>
          <w:tcPr>
            <w:tcW w:type="dxa" w:w="108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Mean Δ at 24m</w:t>
            </w:r>
          </w:p>
        </w:tc>
        <w:tc>
          <w:tcPr>
            <w:tcW w:type="dxa" w:w="108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MCID (%)</w:t>
            </w:r>
          </w:p>
        </w:tc>
      </w:tr>
      <w:tr>
        <w:tc>
          <w:tcPr>
            <w:tcW w:type="dxa" w:w="223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Full Cohort (N = 350) [Norm. %]</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39.9 ± 13.8</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44.1 ± 14.2</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47.8 ± 14.8</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49.5 ± 15.0</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50.3 ± 15.2</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+10.4 ± 5.2%</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72.6%</w:t>
            </w:r>
          </w:p>
        </w:tc>
      </w:tr>
      <w:tr>
        <w:tc>
          <w:tcPr>
            <w:tcW w:type="dxa" w:w="2232"/>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SMA Type 1 (n = 154) [CHOP-INTEND]</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23.6 ± 8.4</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26.8 ± 8.6</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29.4 ± 9.1</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30.6 ± 9.2</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31.2 ± 9.4</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+7.6 ± 4.8 pts</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76.6%</w:t>
            </w:r>
          </w:p>
        </w:tc>
      </w:tr>
      <w:tr>
        <w:tc>
          <w:tcPr>
            <w:tcW w:type="dxa" w:w="223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 SMN2 = 2 Copies (n = 132)</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22.2 ± 7.9</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25.2 ± 8.1</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27.8 ± 8.6</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28.9 ± 8.7</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29.5 ± 8.9</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+7.3 ± 4.6 pts</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75.0%</w:t>
            </w:r>
          </w:p>
        </w:tc>
      </w:tr>
      <w:tr>
        <w:tc>
          <w:tcPr>
            <w:tcW w:type="dxa" w:w="2232"/>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 SMN2 = 3 Copies (n = 22)</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31.8 ± 6.2</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36.4 ± 6.5</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39.0 ± 6.8</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40.8 ± 7.0</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41.4 ± 7.2</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+9.6 ± 5.2 pts</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86.4%</w:t>
            </w:r>
          </w:p>
        </w:tc>
      </w:tr>
      <w:tr>
        <w:tc>
          <w:tcPr>
            <w:tcW w:type="dxa" w:w="223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SMA Type 2 (n = 196) [HFMSE]</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28.4 ± 9.6</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30.4 ± 9.5</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31.8 ± 9.8</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32.4 ± 10.0</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32.8 ± 10.1</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+4.4 ± 3.2 pts</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69.4%</w:t>
            </w:r>
          </w:p>
        </w:tc>
      </w:tr>
      <w:tr>
        <w:tc>
          <w:tcPr>
            <w:tcW w:type="dxa" w:w="2232"/>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 SMN2 = 3 Copies (n = 152)</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26.6 ± 9.4</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28.5 ± 9.2</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29.8 ± 9.5</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30.4 ± 9.7</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30.8 ± 9.8</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+4.2 ± 3.1 pts</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67.8%</w:t>
            </w:r>
          </w:p>
        </w:tc>
      </w:tr>
      <w:tr>
        <w:tc>
          <w:tcPr>
            <w:tcW w:type="dxa" w:w="223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 SMN2 = 4 Copies (n = 44)</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34.6 ± 7.1</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36.8 ± 7.2</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38.8 ± 7.5</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39.4 ± 7.6</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39.8 ± 7.8</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+5.2 ± 3.4 pts</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75.0%</w:t>
            </w:r>
          </w:p>
        </w:tc>
      </w:tr>
    </w:tbl>
    <w:p>
      <w:pPr>
        <w:spacing w:before="40" w:after="120"/>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sectPr>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2893784"/>
            <wp:docPr id="5" name="Picture 5"/>
            <wp:cNvGraphicFramePr>
              <a:graphicFrameLocks noChangeAspect="1"/>
            </wp:cNvGraphicFramePr>
            <a:graphic>
              <a:graphicData uri="http://schemas.openxmlformats.org/drawingml/2006/picture">
                <pic:pic>
                  <pic:nvPicPr>
                    <pic:cNvPr id="0" name="Figure_05_Longitudinal_Trajectories.png"/>
                    <pic:cNvPicPr/>
                  </pic:nvPicPr>
                  <pic:blipFill>
                    <a:blip r:embed="rId14"/>
                    <a:stretch>
                      <a:fillRect/>
                    </a:stretch>
                  </pic:blipFill>
                  <pic:spPr>
                    <a:xfrm>
                      <a:off x="0" y="0"/>
                      <a:ext cx="6217920" cy="2893784"/>
                    </a:xfrm>
                    <a:prstGeom prst="rect"/>
                  </pic:spPr>
                </pic:pic>
              </a:graphicData>
            </a:graphic>
          </wp:inline>
        </w:drawing>
      </w:r>
    </w:p>
    <w:p>
      <w:pPr>
        <w:spacing w:after="200"/>
        <w:jc w:val="center"/>
      </w:pPr>
      <w:r>
        <w:rPr>
          <w:rFonts w:ascii="Times New Roman" w:hAnsi="Times New Roman"/>
          <w:b/>
          <w:color w:val="1A365D"/>
          <w:sz w:val="18"/>
        </w:rPr>
        <w:t xml:space="preserve">Fig. 5.  </w:t>
      </w:r>
      <w:r>
        <w:rPr>
          <w:rFonts w:ascii="Times New Roman" w:hAnsi="Times New Roman"/>
          <w:color w:val="1E293B"/>
          <w:sz w:val="18"/>
        </w:rPr>
        <w:t>Longitudinal Motor Function Trajectories Over 24 Months. (A) Individual patient spaghetti traces and mean cohort progression for CHOP-INTEND in SMA Type 1. (B) Corresponding trajectories for HFMSE in SMA Type 2. Shaded bands represent 95% confidence intervals; horizontal dashed lines indicate established functional milestone thresholds.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sectPr>
      </w:pPr>
    </w:p>
    <w:p>
      <w:pPr>
        <w:spacing w:before="20" w:after="60" w:line="269" w:lineRule="auto"/>
        <w:jc w:val="both"/>
      </w:pPr>
      <w:r>
        <w:rPr>
          <w:rFonts w:ascii="Times New Roman" w:hAnsi="Times New Roman"/>
          <w:b/>
          <w:color w:val="1A365D"/>
          <w:sz w:val="20"/>
        </w:rPr>
        <w:t xml:space="preserve">D. Item-Level Functional Milestone Recovery Dynamics </w:t>
      </w:r>
      <w:r>
        <w:rPr>
          <w:rFonts w:ascii="Times New Roman" w:hAnsi="Times New Roman"/>
          <w:color w:val="1E293B"/>
          <w:sz w:val="20"/>
        </w:rPr>
        <w:t>Granular decomposition of specific motor assessment items revealed differential rates of functional milestone recovery:</w:t>
        <w:br/>
        <w:t>• CHOP-INTEND Sub-Item Kinetics: Spontaneous movements of the upper and lower extremities (Items 1 and 2) along with hand grip (Item 4) showed early gains within the initial 6 months (+0.85 points/item). In contrast, head control in suspension (Item 7) and rolling maneuvers (Items 11 and 12) required sustained therapy over 18 to 24 months, emerging almost exclusively in infants treated prior to 3.0 months of age.</w:t>
        <w:br/>
        <w:t>• HFMSE Functional Item Dynamics: In SMA Type 2, transitional rolling from supine to prone (Items 1–3) and prop-sitting (Item 5) displayed the highest recovery rates (84.2% achieving maximal scores). Conversely, high-demand antigravity tasks, including four-point kneeling (Items 12–14) and standing transitions (Items 25–30), exhibited a steep plateau, being acquired only by patients presenting with baseline CMAP ≥ 2.2 mV.</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2893178"/>
            <wp:docPr id="6" name="Picture 6"/>
            <wp:cNvGraphicFramePr>
              <a:graphicFrameLocks noChangeAspect="1"/>
            </wp:cNvGraphicFramePr>
            <a:graphic>
              <a:graphicData uri="http://schemas.openxmlformats.org/drawingml/2006/picture">
                <pic:pic>
                  <pic:nvPicPr>
                    <pic:cNvPr id="0" name="Figure_06_Longitudinal_Changes_and_Responders.png"/>
                    <pic:cNvPicPr/>
                  </pic:nvPicPr>
                  <pic:blipFill>
                    <a:blip r:embed="rId15"/>
                    <a:stretch>
                      <a:fillRect/>
                    </a:stretch>
                  </pic:blipFill>
                  <pic:spPr>
                    <a:xfrm>
                      <a:off x="0" y="0"/>
                      <a:ext cx="6217920" cy="2893178"/>
                    </a:xfrm>
                    <a:prstGeom prst="rect"/>
                  </pic:spPr>
                </pic:pic>
              </a:graphicData>
            </a:graphic>
          </wp:inline>
        </w:drawing>
      </w:r>
    </w:p>
    <w:p>
      <w:pPr>
        <w:spacing w:after="200"/>
        <w:jc w:val="center"/>
      </w:pPr>
      <w:r>
        <w:rPr>
          <w:rFonts w:ascii="Times New Roman" w:hAnsi="Times New Roman"/>
          <w:b/>
          <w:color w:val="1A365D"/>
          <w:sz w:val="18"/>
        </w:rPr>
        <w:t xml:space="preserve">Fig. 6.  </w:t>
      </w:r>
      <w:r>
        <w:rPr>
          <w:rFonts w:ascii="Times New Roman" w:hAnsi="Times New Roman"/>
          <w:color w:val="1E293B"/>
          <w:sz w:val="18"/>
        </w:rPr>
        <w:t>Magnitude of Longitudinal Changes and Full-Cohort Responder Distribution. (A) Interval-specific changes from baseline across 6, 12, 18, and 24 months. (B) Ranked 24-month delta score waterfall distribution across all 350 patients color-coded by SMA Type and MCID responder threshold.</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pacing w:before="20" w:after="60" w:line="269" w:lineRule="auto"/>
        <w:jc w:val="both"/>
      </w:pPr>
      <w:r>
        <w:rPr>
          <w:rFonts w:ascii="Times New Roman" w:hAnsi="Times New Roman"/>
          <w:b/>
          <w:color w:val="1A365D"/>
          <w:sz w:val="20"/>
        </w:rPr>
        <w:t xml:space="preserve">E. Machine Learning Algorithmic Benchmarking </w:t>
      </w:r>
      <w:r>
        <w:rPr>
          <w:rFonts w:ascii="Times New Roman" w:hAnsi="Times New Roman"/>
          <w:color w:val="1E293B"/>
          <w:sz w:val="20"/>
        </w:rPr>
        <w:t>Across 10-fold repeated nested cross-validation, the Gradient Boosting Regressor achieved the highest predictive precision among all evaluated architectures (Table V):</w:t>
        <w:br/>
        <w:t>• GBM: R² = 0.840 [95% CI: 0.816–0.864], RMSE = 1.77 ± 0.21, MAE = 1.37 ± 0.16, Pearson r = 0.926 (p &lt; 0.001).</w:t>
        <w:br/>
        <w:t>• Random Forest: R² = 0.812, RMSE = 1.92, MAE = 1.51, r = 0.908.</w:t>
        <w:br/>
        <w:t>• SVR (RBF): R² = 0.748, RMSE = 2.22, MAE = 1.76, r = 0.871.</w:t>
        <w:br/>
        <w:t>• MLP Neural Network: R² = 0.722, RMSE = 2.34, MAE = 1.84, r = 0.854.</w:t>
        <w:br/>
        <w:t>• ElasticNet: R² = 0.684, RMSE = 2.50, MAE = 1.98, r = 0.832.</w:t>
        <w:br/>
        <w:t>• Ridge Regression: R² = 0.672, RMSE = 2.55, MAE = 2.02, r = 0.824.</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200" w:after="80"/>
        <w:jc w:val="center"/>
      </w:pPr>
      <w:r>
        <w:rPr>
          <w:rFonts w:ascii="Times New Roman" w:hAnsi="Times New Roman"/>
          <w:b/>
          <w:color w:val="1A365D"/>
          <w:sz w:val="19"/>
        </w:rPr>
        <w:t>TABLE V: COMPREHENSIVE MACHINE LEARNING PREDICTIVE PERFORMANCE COMPARISON (10-FOLD NESTED CV)</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680"/>
        <w:gridCol w:w="1680"/>
        <w:gridCol w:w="1680"/>
        <w:gridCol w:w="1680"/>
        <w:gridCol w:w="1680"/>
        <w:gridCol w:w="1680"/>
      </w:tblGrid>
      <w:tr>
        <w:tc>
          <w:tcPr>
            <w:tcW w:type="dxa" w:w="2592"/>
            <w:shd w:fill="1A365D"/>
            <w:tcMar>
              <w:top w:w="60" w:type="dxa"/>
              <w:bottom w:w="60" w:type="dxa"/>
              <w:left w:w="80" w:type="dxa"/>
              <w:right w:w="80" w:type="dxa"/>
            </w:tcMar>
            <w:vAlign w:val="center"/>
          </w:tcPr>
          <w:p>
            <w:pPr>
              <w:spacing w:before="20" w:after="20"/>
              <w:jc w:val="left"/>
            </w:pPr>
            <w:r>
              <w:rPr>
                <w:rFonts w:ascii="Times New Roman" w:hAnsi="Times New Roman"/>
                <w:b/>
                <w:color w:val="FFFFFF"/>
                <w:sz w:val="17"/>
              </w:rPr>
              <w:t>Model Architecture</w:t>
            </w:r>
          </w:p>
        </w:tc>
        <w:tc>
          <w:tcPr>
            <w:tcW w:type="dxa" w:w="1872"/>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R² Score (Mean [95% CI])</w:t>
            </w:r>
          </w:p>
        </w:tc>
        <w:tc>
          <w:tcPr>
            <w:tcW w:type="dxa" w:w="1368"/>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RMSE (Points)</w:t>
            </w:r>
          </w:p>
        </w:tc>
        <w:tc>
          <w:tcPr>
            <w:tcW w:type="dxa" w:w="1368"/>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MAE (Points)</w:t>
            </w:r>
          </w:p>
        </w:tc>
        <w:tc>
          <w:tcPr>
            <w:tcW w:type="dxa" w:w="1512"/>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Pearson r (p-value)</w:t>
            </w:r>
          </w:p>
        </w:tc>
        <w:tc>
          <w:tcPr>
            <w:tcW w:type="dxa" w:w="108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Rank</w:t>
            </w:r>
          </w:p>
        </w:tc>
      </w:tr>
      <w:tr>
        <w:tc>
          <w:tcPr>
            <w:tcW w:type="dxa" w:w="259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Gradient Boosting Regressor (GBM)</w:t>
            </w:r>
          </w:p>
        </w:tc>
        <w:tc>
          <w:tcPr>
            <w:tcW w:type="dxa" w:w="1872"/>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0.840 [0.816 – 0.864]</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1.77 ± 0.21</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1.37 ± 0.16</w:t>
            </w:r>
          </w:p>
        </w:tc>
        <w:tc>
          <w:tcPr>
            <w:tcW w:type="dxa" w:w="1512"/>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0.926 (&lt; 0.001)</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 (Best)</w:t>
            </w:r>
          </w:p>
        </w:tc>
      </w:tr>
      <w:tr>
        <w:tc>
          <w:tcPr>
            <w:tcW w:type="dxa" w:w="2592"/>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Random Forest Regressor</w:t>
            </w:r>
          </w:p>
        </w:tc>
        <w:tc>
          <w:tcPr>
            <w:tcW w:type="dxa" w:w="1872"/>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0.812 [0.784 – 0.840]</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1.92 ± 0.24</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1.51 ± 0.18</w:t>
            </w:r>
          </w:p>
        </w:tc>
        <w:tc>
          <w:tcPr>
            <w:tcW w:type="dxa" w:w="1512"/>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0.908 (&lt; 0.001)</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w:t>
            </w:r>
          </w:p>
        </w:tc>
      </w:tr>
      <w:tr>
        <w:tc>
          <w:tcPr>
            <w:tcW w:type="dxa" w:w="259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Support Vector Regressor (SVR, RBF)</w:t>
            </w:r>
          </w:p>
        </w:tc>
        <w:tc>
          <w:tcPr>
            <w:tcW w:type="dxa" w:w="1872"/>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0.748 [0.716 – 0.780]</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2.22 ± 0.26</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1.76 ± 0.20</w:t>
            </w:r>
          </w:p>
        </w:tc>
        <w:tc>
          <w:tcPr>
            <w:tcW w:type="dxa" w:w="1512"/>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0.871 (&lt; 0.001)</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w:t>
            </w:r>
          </w:p>
        </w:tc>
      </w:tr>
      <w:tr>
        <w:tc>
          <w:tcPr>
            <w:tcW w:type="dxa" w:w="2592"/>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Multi-Layer Perceptron (MLP)</w:t>
            </w:r>
          </w:p>
        </w:tc>
        <w:tc>
          <w:tcPr>
            <w:tcW w:type="dxa" w:w="1872"/>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0.722 [0.684 – 0.760]</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2.34 ± 0.29</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1.84 ± 0.22</w:t>
            </w:r>
          </w:p>
        </w:tc>
        <w:tc>
          <w:tcPr>
            <w:tcW w:type="dxa" w:w="1512"/>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0.854 (&lt; 0.001)</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4</w:t>
            </w:r>
          </w:p>
        </w:tc>
      </w:tr>
      <w:tr>
        <w:tc>
          <w:tcPr>
            <w:tcW w:type="dxa" w:w="259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ElasticNet Regression</w:t>
            </w:r>
          </w:p>
        </w:tc>
        <w:tc>
          <w:tcPr>
            <w:tcW w:type="dxa" w:w="1872"/>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0.684 [0.648 – 0.720]</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2.50 ± 0.31</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1.98 ± 0.24</w:t>
            </w:r>
          </w:p>
        </w:tc>
        <w:tc>
          <w:tcPr>
            <w:tcW w:type="dxa" w:w="1512"/>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0.832 (&lt; 0.001)</w:t>
            </w:r>
          </w:p>
        </w:tc>
        <w:tc>
          <w:tcPr>
            <w:tcW w:type="dxa" w:w="108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5</w:t>
            </w:r>
          </w:p>
        </w:tc>
      </w:tr>
      <w:tr>
        <w:tc>
          <w:tcPr>
            <w:tcW w:type="dxa" w:w="2592"/>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Ridge Regression</w:t>
            </w:r>
          </w:p>
        </w:tc>
        <w:tc>
          <w:tcPr>
            <w:tcW w:type="dxa" w:w="1872"/>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0.672 [0.634 – 0.710]</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2.55 ± 0.32</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2.02 ± 0.25</w:t>
            </w:r>
          </w:p>
        </w:tc>
        <w:tc>
          <w:tcPr>
            <w:tcW w:type="dxa" w:w="1512"/>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0.824 (&lt; 0.001)</w:t>
            </w:r>
          </w:p>
        </w:tc>
        <w:tc>
          <w:tcPr>
            <w:tcW w:type="dxa" w:w="108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6</w:t>
            </w:r>
          </w:p>
        </w:tc>
      </w:tr>
    </w:tbl>
    <w:p>
      <w:pPr>
        <w:spacing w:before="40" w:after="120"/>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keepNext/>
        <w:spacing w:before="120" w:after="40"/>
        <w:jc w:val="center"/>
      </w:pPr>
      <w:r>
        <w:drawing>
          <wp:inline xmlns:a="http://schemas.openxmlformats.org/drawingml/2006/main" xmlns:pic="http://schemas.openxmlformats.org/drawingml/2006/picture">
            <wp:extent cx="3017520" cy="1880238"/>
            <wp:docPr id="7" name="Picture 7"/>
            <wp:cNvGraphicFramePr>
              <a:graphicFrameLocks noChangeAspect="1"/>
            </wp:cNvGraphicFramePr>
            <a:graphic>
              <a:graphicData uri="http://schemas.openxmlformats.org/drawingml/2006/picture">
                <pic:pic>
                  <pic:nvPicPr>
                    <pic:cNvPr id="0" name="Figure_07_Baseline_Feature_Importance.png"/>
                    <pic:cNvPicPr/>
                  </pic:nvPicPr>
                  <pic:blipFill>
                    <a:blip r:embed="rId16"/>
                    <a:stretch>
                      <a:fillRect/>
                    </a:stretch>
                  </pic:blipFill>
                  <pic:spPr>
                    <a:xfrm>
                      <a:off x="0" y="0"/>
                      <a:ext cx="3017520" cy="1880238"/>
                    </a:xfrm>
                    <a:prstGeom prst="rect"/>
                  </pic:spPr>
                </pic:pic>
              </a:graphicData>
            </a:graphic>
          </wp:inline>
        </w:drawing>
      </w:r>
    </w:p>
    <w:p>
      <w:pPr>
        <w:spacing w:after="120"/>
        <w:jc w:val="center"/>
      </w:pPr>
      <w:r>
        <w:rPr>
          <w:rFonts w:ascii="Times New Roman" w:hAnsi="Times New Roman"/>
          <w:b/>
          <w:color w:val="1A365D"/>
          <w:sz w:val="17"/>
        </w:rPr>
        <w:t xml:space="preserve">Fig. 7.  </w:t>
      </w:r>
      <w:r>
        <w:rPr>
          <w:rFonts w:ascii="Times New Roman" w:hAnsi="Times New Roman"/>
          <w:color w:val="1E293B"/>
          <w:sz w:val="17"/>
        </w:rPr>
        <w:t>Cross-Validated Permutation Feature Importance. Baseline features ranked by mean increase in RMSE following feature value shuffling across 10-fold cross-validation folds.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4427867"/>
            <wp:docPr id="8" name="Picture 8"/>
            <wp:cNvGraphicFramePr>
              <a:graphicFrameLocks noChangeAspect="1"/>
            </wp:cNvGraphicFramePr>
            <a:graphic>
              <a:graphicData uri="http://schemas.openxmlformats.org/drawingml/2006/picture">
                <pic:pic>
                  <pic:nvPicPr>
                    <pic:cNvPr id="0" name="Figure_08_Comparative_ML_Performance.png"/>
                    <pic:cNvPicPr/>
                  </pic:nvPicPr>
                  <pic:blipFill>
                    <a:blip r:embed="rId17"/>
                    <a:stretch>
                      <a:fillRect/>
                    </a:stretch>
                  </pic:blipFill>
                  <pic:spPr>
                    <a:xfrm>
                      <a:off x="0" y="0"/>
                      <a:ext cx="6217920" cy="4427867"/>
                    </a:xfrm>
                    <a:prstGeom prst="rect"/>
                  </pic:spPr>
                </pic:pic>
              </a:graphicData>
            </a:graphic>
          </wp:inline>
        </w:drawing>
      </w:r>
    </w:p>
    <w:p>
      <w:pPr>
        <w:spacing w:after="200"/>
        <w:jc w:val="center"/>
      </w:pPr>
      <w:r>
        <w:rPr>
          <w:rFonts w:ascii="Times New Roman" w:hAnsi="Times New Roman"/>
          <w:b/>
          <w:color w:val="1A365D"/>
          <w:sz w:val="18"/>
        </w:rPr>
        <w:t xml:space="preserve">Fig. 8.  </w:t>
      </w:r>
      <w:r>
        <w:rPr>
          <w:rFonts w:ascii="Times New Roman" w:hAnsi="Times New Roman"/>
          <w:color w:val="1E293B"/>
          <w:sz w:val="18"/>
        </w:rPr>
        <w:t>Comparative Predictive Performance Across Six Machine Learning Architectures (10-Fold Nested Cross-Validation). Evaluation metrics include R², RMSE, MAE, and Pearson correlation r. Error bars depict 95% bootstrap confidence intervals.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2882866"/>
            <wp:docPr id="9" name="Picture 9"/>
            <wp:cNvGraphicFramePr>
              <a:graphicFrameLocks noChangeAspect="1"/>
            </wp:cNvGraphicFramePr>
            <a:graphic>
              <a:graphicData uri="http://schemas.openxmlformats.org/drawingml/2006/picture">
                <pic:pic>
                  <pic:nvPicPr>
                    <pic:cNvPr id="0" name="Figure_09_Agreement_Observed_vs_Predicted.png"/>
                    <pic:cNvPicPr/>
                  </pic:nvPicPr>
                  <pic:blipFill>
                    <a:blip r:embed="rId18"/>
                    <a:stretch>
                      <a:fillRect/>
                    </a:stretch>
                  </pic:blipFill>
                  <pic:spPr>
                    <a:xfrm>
                      <a:off x="0" y="0"/>
                      <a:ext cx="6217920" cy="2882866"/>
                    </a:xfrm>
                    <a:prstGeom prst="rect"/>
                  </pic:spPr>
                </pic:pic>
              </a:graphicData>
            </a:graphic>
          </wp:inline>
        </w:drawing>
      </w:r>
    </w:p>
    <w:p>
      <w:pPr>
        <w:spacing w:after="200"/>
        <w:jc w:val="center"/>
      </w:pPr>
      <w:r>
        <w:rPr>
          <w:rFonts w:ascii="Times New Roman" w:hAnsi="Times New Roman"/>
          <w:b/>
          <w:color w:val="1A365D"/>
          <w:sz w:val="18"/>
        </w:rPr>
        <w:t xml:space="preserve">Fig. 9.  </w:t>
      </w:r>
      <w:r>
        <w:rPr>
          <w:rFonts w:ascii="Times New Roman" w:hAnsi="Times New Roman"/>
          <w:color w:val="1E293B"/>
          <w:sz w:val="18"/>
        </w:rPr>
        <w:t>Concordance and Agreement Diagnostics. (A) Scatter plot of predicted versus observed 24-month motor function gains with 45° line of identity and linear regression fit (R² = 0.840, r = 0.926). (B) Bland-Altman agreement plot demonstrating zero proportional bias (mean bias: +0.00 points) and narrow 95% limits of agreement (-3.46 to +3.46 points).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pacing w:before="20" w:after="60" w:line="269" w:lineRule="auto"/>
        <w:jc w:val="both"/>
      </w:pPr>
      <w:r>
        <w:rPr>
          <w:rFonts w:ascii="Times New Roman" w:hAnsi="Times New Roman"/>
          <w:b/>
          <w:color w:val="1A365D"/>
          <w:sz w:val="20"/>
        </w:rPr>
        <w:t xml:space="preserve">F. Concordance and Bland-Altman Agreement Analysis </w:t>
      </w:r>
      <w:r>
        <w:rPr>
          <w:rFonts w:ascii="Times New Roman" w:hAnsi="Times New Roman"/>
          <w:color w:val="1E293B"/>
          <w:sz w:val="20"/>
        </w:rPr>
        <w:t>Agreement diagnostics between observed and GBM-predicted 24-month changes confirmed high fidelity. Lin's concordance correlation coefficient was ρc = 0.918. Bland-Altman analysis revealed an empirical mean bias of +0.00 points, with 95% limits of agreement spanning -3.46 to +3.46 points. Over 95.4% of all patient predictions fell within the limits of agreement.</w:t>
      </w:r>
    </w:p>
    <w:p>
      <w:pPr>
        <w:spacing w:before="20" w:after="60" w:line="269" w:lineRule="auto"/>
        <w:jc w:val="both"/>
      </w:pPr>
      <w:r>
        <w:rPr>
          <w:rFonts w:ascii="Times New Roman" w:hAnsi="Times New Roman"/>
          <w:b/>
          <w:color w:val="1A365D"/>
          <w:sz w:val="20"/>
        </w:rPr>
        <w:t xml:space="preserve">G. Residual Diagnostics and Subgroup Homoscedasticity </w:t>
      </w:r>
      <w:r>
        <w:rPr>
          <w:rFonts w:ascii="Times New Roman" w:hAnsi="Times New Roman"/>
          <w:color w:val="1E293B"/>
          <w:sz w:val="20"/>
        </w:rPr>
        <w:t>Residual diagnostic checks confirmed the absence of heteroscedasticity across the fitted value spectrum. The residual distribution conformed to a normal Gaussian profile (Shapiro-Wilk test: W = 0.994, p = 0.428). Residual errors were uniformly distributed across both SMA Type 1 (mean error: +0.02 ± 1.82 points) and SMA Type 2 (mean error: -0.01 ± 1.72 points).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4625380"/>
            <wp:docPr id="10" name="Picture 10"/>
            <wp:cNvGraphicFramePr>
              <a:graphicFrameLocks noChangeAspect="1"/>
            </wp:cNvGraphicFramePr>
            <a:graphic>
              <a:graphicData uri="http://schemas.openxmlformats.org/drawingml/2006/picture">
                <pic:pic>
                  <pic:nvPicPr>
                    <pic:cNvPr id="0" name="Figure_10_Residual_and_Prediction_Error_Analysis.png"/>
                    <pic:cNvPicPr/>
                  </pic:nvPicPr>
                  <pic:blipFill>
                    <a:blip r:embed="rId19"/>
                    <a:stretch>
                      <a:fillRect/>
                    </a:stretch>
                  </pic:blipFill>
                  <pic:spPr>
                    <a:xfrm>
                      <a:off x="0" y="0"/>
                      <a:ext cx="6217920" cy="4625380"/>
                    </a:xfrm>
                    <a:prstGeom prst="rect"/>
                  </pic:spPr>
                </pic:pic>
              </a:graphicData>
            </a:graphic>
          </wp:inline>
        </w:drawing>
      </w:r>
    </w:p>
    <w:p>
      <w:pPr>
        <w:spacing w:after="200"/>
        <w:jc w:val="center"/>
      </w:pPr>
      <w:r>
        <w:rPr>
          <w:rFonts w:ascii="Times New Roman" w:hAnsi="Times New Roman"/>
          <w:b/>
          <w:color w:val="1A365D"/>
          <w:sz w:val="18"/>
        </w:rPr>
        <w:t xml:space="preserve">Fig. 10.  </w:t>
      </w:r>
      <w:r>
        <w:rPr>
          <w:rFonts w:ascii="Times New Roman" w:hAnsi="Times New Roman"/>
          <w:color w:val="1E293B"/>
          <w:sz w:val="18"/>
        </w:rPr>
        <w:t>Residual Diagnostics and Error Analysis for Final Gradient Boosting Regressor. (A) Residuals versus fitted values showing homoscedastic dispersion. (B) Residual distribution histogram with Gaussian kernel fit (Shapiro-Wilk p = 0.428). (C) Normal Q-Q probability plot. (D) Prediction error distributions stratified by clinical subtype.</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pacing w:before="20" w:after="60" w:line="269" w:lineRule="auto"/>
        <w:jc w:val="both"/>
      </w:pPr>
      <w:r>
        <w:rPr>
          <w:rFonts w:ascii="Times New Roman" w:hAnsi="Times New Roman"/>
          <w:b/>
          <w:color w:val="1A365D"/>
          <w:sz w:val="20"/>
        </w:rPr>
        <w:t xml:space="preserve">H. Global SHAP Hierarchy and Beeswarm Attributions </w:t>
      </w:r>
      <w:r>
        <w:rPr>
          <w:rFonts w:ascii="Times New Roman" w:hAnsi="Times New Roman"/>
          <w:color w:val="1E293B"/>
          <w:sz w:val="20"/>
        </w:rPr>
        <w:t>Global SHAP TreeExplainer attributions identified treatment delay as the single most dominant predictor of 24-month motor gain (mean |φ| = 2.14 points). Baseline CMAP amplitude ranked second (1.82 points), followed by normalized baseline motor score (1.45 points), SMN2 copy number (1.28 points), onasemnogene therapy (1.12 points), age at onset (0.94 points), daily NIV hours (0.58 points), scoliosis Cobb angle (0.42 points), nutritional Z-score (0.34 points), and untreated natural history status (0.31 points). The exact attribution rankings, directional trends, and top interaction partners are cataloged in Table VI.</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200" w:after="80"/>
        <w:jc w:val="center"/>
      </w:pPr>
      <w:r>
        <w:rPr>
          <w:rFonts w:ascii="Times New Roman" w:hAnsi="Times New Roman"/>
          <w:b/>
          <w:color w:val="1A365D"/>
          <w:sz w:val="19"/>
        </w:rPr>
        <w:t>TABLE VI: SHAP-BASED GLOBAL FEATURE IMPORTANCE RANKING AND ATTRIBUTION METRICS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2016"/>
        <w:gridCol w:w="2016"/>
        <w:gridCol w:w="2016"/>
        <w:gridCol w:w="2016"/>
        <w:gridCol w:w="2016"/>
      </w:tblGrid>
      <w:tr>
        <w:tc>
          <w:tcPr>
            <w:tcW w:type="dxa" w:w="2304"/>
            <w:shd w:fill="1A365D"/>
            <w:tcMar>
              <w:top w:w="60" w:type="dxa"/>
              <w:bottom w:w="60" w:type="dxa"/>
              <w:left w:w="80" w:type="dxa"/>
              <w:right w:w="80" w:type="dxa"/>
            </w:tcMar>
            <w:vAlign w:val="center"/>
          </w:tcPr>
          <w:p>
            <w:pPr>
              <w:spacing w:before="20" w:after="20"/>
              <w:jc w:val="left"/>
            </w:pPr>
            <w:r>
              <w:rPr>
                <w:rFonts w:ascii="Times New Roman" w:hAnsi="Times New Roman"/>
                <w:b/>
                <w:color w:val="FFFFFF"/>
                <w:sz w:val="17"/>
              </w:rPr>
              <w:t>Feature Description</w:t>
            </w:r>
          </w:p>
        </w:tc>
        <w:tc>
          <w:tcPr>
            <w:tcW w:type="dxa" w:w="144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Mean |SHAP| (E[|φ|], pts)</w:t>
            </w:r>
          </w:p>
        </w:tc>
        <w:tc>
          <w:tcPr>
            <w:tcW w:type="dxa" w:w="1728"/>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Directional Impact Trend</w:t>
            </w:r>
          </w:p>
        </w:tc>
        <w:tc>
          <w:tcPr>
            <w:tcW w:type="dxa" w:w="1584"/>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Top Interaction</w:t>
            </w:r>
          </w:p>
        </w:tc>
        <w:tc>
          <w:tcPr>
            <w:tcW w:type="dxa" w:w="2736"/>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Mechanistic Pathophysiological Interpretation</w:t>
            </w:r>
          </w:p>
        </w:tc>
      </w:tr>
      <w:tr>
        <w:tc>
          <w:tcPr>
            <w:tcW w:type="dxa" w:w="2304"/>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 Initiation Delay (mo)</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2.14</w:t>
            </w:r>
          </w:p>
        </w:tc>
        <w:tc>
          <w:tcPr>
            <w:tcW w:type="dxa" w:w="172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Strongly Negative with Delay</w:t>
            </w:r>
          </w:p>
        </w:tc>
        <w:tc>
          <w:tcPr>
            <w:tcW w:type="dxa" w:w="158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Baseline CMAP</w:t>
            </w:r>
          </w:p>
        </w:tc>
        <w:tc>
          <w:tcPr>
            <w:tcW w:type="dxa" w:w="273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Irreversible spinal motor neuron loss prior to rescue.</w:t>
            </w:r>
          </w:p>
        </w:tc>
      </w:tr>
      <w:tr>
        <w:tc>
          <w:tcPr>
            <w:tcW w:type="dxa" w:w="2304"/>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Baseline CMAP Amplitude (mV)</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1.82</w:t>
            </w:r>
          </w:p>
        </w:tc>
        <w:tc>
          <w:tcPr>
            <w:tcW w:type="dxa" w:w="172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Positive with Higher Amplitude</w:t>
            </w:r>
          </w:p>
        </w:tc>
        <w:tc>
          <w:tcPr>
            <w:tcW w:type="dxa" w:w="158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Treatment Delay</w:t>
            </w:r>
          </w:p>
        </w:tc>
        <w:tc>
          <w:tcPr>
            <w:tcW w:type="dxa" w:w="273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Functional motor unit pool capable of terminal reinnervation.</w:t>
            </w:r>
          </w:p>
        </w:tc>
      </w:tr>
      <w:tr>
        <w:tc>
          <w:tcPr>
            <w:tcW w:type="dxa" w:w="2304"/>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Normalized Baseline Motor Score (%)</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1.45</w:t>
            </w:r>
          </w:p>
        </w:tc>
        <w:tc>
          <w:tcPr>
            <w:tcW w:type="dxa" w:w="172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Non-Linear / Ceiling at High</w:t>
            </w:r>
          </w:p>
        </w:tc>
        <w:tc>
          <w:tcPr>
            <w:tcW w:type="dxa" w:w="158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SMN2 Copies</w:t>
            </w:r>
          </w:p>
        </w:tc>
        <w:tc>
          <w:tcPr>
            <w:tcW w:type="dxa" w:w="273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Defines functional headroom; exhibits psychometric ceiling.</w:t>
            </w:r>
          </w:p>
        </w:tc>
      </w:tr>
      <w:tr>
        <w:tc>
          <w:tcPr>
            <w:tcW w:type="dxa" w:w="2304"/>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SMN2 Copy Number</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1.28</w:t>
            </w:r>
          </w:p>
        </w:tc>
        <w:tc>
          <w:tcPr>
            <w:tcW w:type="dxa" w:w="172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Positive with Higher Copy Count</w:t>
            </w:r>
          </w:p>
        </w:tc>
        <w:tc>
          <w:tcPr>
            <w:tcW w:type="dxa" w:w="158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Baseline Score</w:t>
            </w:r>
          </w:p>
        </w:tc>
        <w:tc>
          <w:tcPr>
            <w:tcW w:type="dxa" w:w="273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Primary genomic modifier governing endogenous SMN levels.</w:t>
            </w:r>
          </w:p>
        </w:tc>
      </w:tr>
      <w:tr>
        <w:tc>
          <w:tcPr>
            <w:tcW w:type="dxa" w:w="2304"/>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 Onasemnogene Abeparvovec</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1.12</w:t>
            </w:r>
          </w:p>
        </w:tc>
        <w:tc>
          <w:tcPr>
            <w:tcW w:type="dxa" w:w="172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Strongly Positive Impact</w:t>
            </w:r>
          </w:p>
        </w:tc>
        <w:tc>
          <w:tcPr>
            <w:tcW w:type="dxa" w:w="158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Age at Onset</w:t>
            </w:r>
          </w:p>
        </w:tc>
        <w:tc>
          <w:tcPr>
            <w:tcW w:type="dxa" w:w="273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Rapid, systemic SMN replacement drives early motor recovery.</w:t>
            </w:r>
          </w:p>
        </w:tc>
      </w:tr>
      <w:tr>
        <w:tc>
          <w:tcPr>
            <w:tcW w:type="dxa" w:w="2304"/>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Age at Symptom Onset (mo)</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0.94</w:t>
            </w:r>
          </w:p>
        </w:tc>
        <w:tc>
          <w:tcPr>
            <w:tcW w:type="dxa" w:w="172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Bimodal / Positive for Later</w:t>
            </w:r>
          </w:p>
        </w:tc>
        <w:tc>
          <w:tcPr>
            <w:tcW w:type="dxa" w:w="158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SMN2 Copies</w:t>
            </w:r>
          </w:p>
        </w:tc>
        <w:tc>
          <w:tcPr>
            <w:tcW w:type="dxa" w:w="273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Surrogate for biological aggressiveness and phenotype type.</w:t>
            </w:r>
          </w:p>
        </w:tc>
      </w:tr>
      <w:tr>
        <w:tc>
          <w:tcPr>
            <w:tcW w:type="dxa" w:w="2304"/>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Daily Baseline NIV Usage (hrs)</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0.58</w:t>
            </w:r>
          </w:p>
        </w:tc>
        <w:tc>
          <w:tcPr>
            <w:tcW w:type="dxa" w:w="172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Negative with Higher Hours</w:t>
            </w:r>
          </w:p>
        </w:tc>
        <w:tc>
          <w:tcPr>
            <w:tcW w:type="dxa" w:w="158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Baseline Score</w:t>
            </w:r>
          </w:p>
        </w:tc>
        <w:tc>
          <w:tcPr>
            <w:tcW w:type="dxa" w:w="273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Marker of respiratory diaphragmatic failure and debility.</w:t>
            </w:r>
          </w:p>
        </w:tc>
      </w:tr>
      <w:tr>
        <w:tc>
          <w:tcPr>
            <w:tcW w:type="dxa" w:w="2304"/>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Scoliosis Cobb Angle (°)</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0.42</w:t>
            </w:r>
          </w:p>
        </w:tc>
        <w:tc>
          <w:tcPr>
            <w:tcW w:type="dxa" w:w="172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Negative with Severe Angle</w:t>
            </w:r>
          </w:p>
        </w:tc>
        <w:tc>
          <w:tcPr>
            <w:tcW w:type="dxa" w:w="158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Age at Onset</w:t>
            </w:r>
          </w:p>
        </w:tc>
        <w:tc>
          <w:tcPr>
            <w:tcW w:type="dxa" w:w="273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Biomechanical restriction impairing axial motor tasks.</w:t>
            </w:r>
          </w:p>
        </w:tc>
      </w:tr>
      <w:tr>
        <w:tc>
          <w:tcPr>
            <w:tcW w:type="dxa" w:w="2304"/>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Nutritional Z-Score</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0.34</w:t>
            </w:r>
          </w:p>
        </w:tc>
        <w:tc>
          <w:tcPr>
            <w:tcW w:type="dxa" w:w="172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Negative with Severe Underweight</w:t>
            </w:r>
          </w:p>
        </w:tc>
        <w:tc>
          <w:tcPr>
            <w:tcW w:type="dxa" w:w="158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Daily NIV Hours</w:t>
            </w:r>
          </w:p>
        </w:tc>
        <w:tc>
          <w:tcPr>
            <w:tcW w:type="dxa" w:w="273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Marker of bulbar feeding failure and systemic cachexia.</w:t>
            </w:r>
          </w:p>
        </w:tc>
      </w:tr>
      <w:tr>
        <w:tc>
          <w:tcPr>
            <w:tcW w:type="dxa" w:w="2304"/>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Treatment: Untreated Control</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0.31</w:t>
            </w:r>
          </w:p>
        </w:tc>
        <w:tc>
          <w:tcPr>
            <w:tcW w:type="dxa" w:w="172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Extremely Negative (-6.60 pts)</w:t>
            </w:r>
          </w:p>
        </w:tc>
        <w:tc>
          <w:tcPr>
            <w:tcW w:type="dxa" w:w="158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All Variables</w:t>
            </w:r>
          </w:p>
        </w:tc>
        <w:tc>
          <w:tcPr>
            <w:tcW w:type="dxa" w:w="273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Natural history trajectory of unmitigated neurodegeneration.</w:t>
            </w:r>
          </w:p>
        </w:tc>
      </w:tr>
    </w:tbl>
    <w:p>
      <w:pPr>
        <w:spacing w:before="40" w:after="120"/>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keepNext/>
        <w:spacing w:before="120" w:after="40"/>
        <w:jc w:val="center"/>
      </w:pPr>
      <w:r>
        <w:drawing>
          <wp:inline xmlns:a="http://schemas.openxmlformats.org/drawingml/2006/main" xmlns:pic="http://schemas.openxmlformats.org/drawingml/2006/picture">
            <wp:extent cx="3017520" cy="1880030"/>
            <wp:docPr id="11" name="Picture 11"/>
            <wp:cNvGraphicFramePr>
              <a:graphicFrameLocks noChangeAspect="1"/>
            </wp:cNvGraphicFramePr>
            <a:graphic>
              <a:graphicData uri="http://schemas.openxmlformats.org/drawingml/2006/picture">
                <pic:pic>
                  <pic:nvPicPr>
                    <pic:cNvPr id="0" name="Figure_11_Global_SHAP_Feature_Importance.png"/>
                    <pic:cNvPicPr/>
                  </pic:nvPicPr>
                  <pic:blipFill>
                    <a:blip r:embed="rId20"/>
                    <a:stretch>
                      <a:fillRect/>
                    </a:stretch>
                  </pic:blipFill>
                  <pic:spPr>
                    <a:xfrm>
                      <a:off x="0" y="0"/>
                      <a:ext cx="3017520" cy="1880030"/>
                    </a:xfrm>
                    <a:prstGeom prst="rect"/>
                  </pic:spPr>
                </pic:pic>
              </a:graphicData>
            </a:graphic>
          </wp:inline>
        </w:drawing>
      </w:r>
    </w:p>
    <w:p>
      <w:pPr>
        <w:spacing w:after="120"/>
        <w:jc w:val="center"/>
      </w:pPr>
      <w:r>
        <w:rPr>
          <w:rFonts w:ascii="Times New Roman" w:hAnsi="Times New Roman"/>
          <w:b/>
          <w:color w:val="1A365D"/>
          <w:sz w:val="17"/>
        </w:rPr>
        <w:t xml:space="preserve">Fig. 11.  </w:t>
      </w:r>
      <w:r>
        <w:rPr>
          <w:rFonts w:ascii="Times New Roman" w:hAnsi="Times New Roman"/>
          <w:color w:val="1E293B"/>
          <w:sz w:val="17"/>
        </w:rPr>
        <w:t>Global SHAP Feature Importance Ranking. Baseline features ordered by mean absolute Shapley value (E[|φ|]) quantifying point impact on 24-month motor gain predictions.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4197471"/>
            <wp:docPr id="12" name="Picture 12"/>
            <wp:cNvGraphicFramePr>
              <a:graphicFrameLocks noChangeAspect="1"/>
            </wp:cNvGraphicFramePr>
            <a:graphic>
              <a:graphicData uri="http://schemas.openxmlformats.org/drawingml/2006/picture">
                <pic:pic>
                  <pic:nvPicPr>
                    <pic:cNvPr id="0" name="Figure_12_SHAP_Beeswarm_Analysis.png"/>
                    <pic:cNvPicPr/>
                  </pic:nvPicPr>
                  <pic:blipFill>
                    <a:blip r:embed="rId21"/>
                    <a:stretch>
                      <a:fillRect/>
                    </a:stretch>
                  </pic:blipFill>
                  <pic:spPr>
                    <a:xfrm>
                      <a:off x="0" y="0"/>
                      <a:ext cx="6217920" cy="4197471"/>
                    </a:xfrm>
                    <a:prstGeom prst="rect"/>
                  </pic:spPr>
                </pic:pic>
              </a:graphicData>
            </a:graphic>
          </wp:inline>
        </w:drawing>
      </w:r>
    </w:p>
    <w:p>
      <w:pPr>
        <w:spacing w:after="200"/>
        <w:jc w:val="center"/>
      </w:pPr>
      <w:r>
        <w:rPr>
          <w:rFonts w:ascii="Times New Roman" w:hAnsi="Times New Roman"/>
          <w:b/>
          <w:color w:val="1A365D"/>
          <w:sz w:val="18"/>
        </w:rPr>
        <w:t xml:space="preserve">Fig. 12.  </w:t>
      </w:r>
      <w:r>
        <w:rPr>
          <w:rFonts w:ascii="Times New Roman" w:hAnsi="Times New Roman"/>
          <w:color w:val="1E293B"/>
          <w:sz w:val="18"/>
        </w:rPr>
        <w:t>SHAP Beeswarm Summary Plot. Each point represents an individual patient, positioned horizontally by its Shapley value (φ) and color-coded by the relative feature value (red = high, blue = low). High treatment delay strongly drives negative attributions, whereas high baseline CMAP and SMN2 copy numbers drive positive gains.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4597578"/>
            <wp:docPr id="13" name="Picture 13"/>
            <wp:cNvGraphicFramePr>
              <a:graphicFrameLocks noChangeAspect="1"/>
            </wp:cNvGraphicFramePr>
            <a:graphic>
              <a:graphicData uri="http://schemas.openxmlformats.org/drawingml/2006/picture">
                <pic:pic>
                  <pic:nvPicPr>
                    <pic:cNvPr id="0" name="Figure_13_SHAP_Dependence_Analysis.png"/>
                    <pic:cNvPicPr/>
                  </pic:nvPicPr>
                  <pic:blipFill>
                    <a:blip r:embed="rId22"/>
                    <a:stretch>
                      <a:fillRect/>
                    </a:stretch>
                  </pic:blipFill>
                  <pic:spPr>
                    <a:xfrm>
                      <a:off x="0" y="0"/>
                      <a:ext cx="6217920" cy="4597578"/>
                    </a:xfrm>
                    <a:prstGeom prst="rect"/>
                  </pic:spPr>
                </pic:pic>
              </a:graphicData>
            </a:graphic>
          </wp:inline>
        </w:drawing>
      </w:r>
    </w:p>
    <w:p>
      <w:pPr>
        <w:spacing w:after="200"/>
        <w:jc w:val="center"/>
      </w:pPr>
      <w:r>
        <w:rPr>
          <w:rFonts w:ascii="Times New Roman" w:hAnsi="Times New Roman"/>
          <w:b/>
          <w:color w:val="1A365D"/>
          <w:sz w:val="18"/>
        </w:rPr>
        <w:t xml:space="preserve">Fig. 13.  </w:t>
      </w:r>
      <w:r>
        <w:rPr>
          <w:rFonts w:ascii="Times New Roman" w:hAnsi="Times New Roman"/>
          <w:color w:val="1E293B"/>
          <w:sz w:val="18"/>
        </w:rPr>
        <w:t>SHAP Partial Dependence and Feature Interaction Landscapes. (A) Treatment delay vs. φDelay with CMAP interaction. (B) Baseline motor score vs. φBase with SMN2 copies. (C) Baseline CMAP vs. φCMAP with treatment delay. (D) SMN2 copy count vs. φSMN2 with onset age.</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pacing w:before="20" w:after="60" w:line="269" w:lineRule="auto"/>
        <w:jc w:val="both"/>
      </w:pPr>
      <w:r>
        <w:rPr>
          <w:rFonts w:ascii="Times New Roman" w:hAnsi="Times New Roman"/>
          <w:b/>
          <w:color w:val="1A365D"/>
          <w:sz w:val="20"/>
        </w:rPr>
        <w:t xml:space="preserve">I. Non-Linear Partial Dependence and Critical Windows </w:t>
      </w:r>
      <w:r>
        <w:rPr>
          <w:rFonts w:ascii="Times New Roman" w:hAnsi="Times New Roman"/>
          <w:color w:val="1E293B"/>
          <w:sz w:val="20"/>
        </w:rPr>
        <w:t>SHAP partial dependence analysis demonstrated non-linear therapeutic thresholds:</w:t>
        <w:br/>
        <w:t>1) Treatment Delay Window: A critical threshold was uncovered at 3.5 months for Type 1 and 8.0 months for Type 2. Delays beyond these inflection points produced an abrupt downward deflection in the Shapley curve, reducing predicted motor recovery by ~1.2 points per additional month of delay.</w:t>
        <w:br/>
        <w:t>2) Electrophysiological Saturation: The relationship between baseline CMAP and motor gain was approximately linear between 0.2 mV and 2.0 mV, but reached a functional plateau above 2.5 mV.</w:t>
        <w:br/>
        <w:t>3) Ceiling Dynamics: Baseline motor scores displayed a concave profile; patients with high baseline scores (&gt; 60%) exhibited negative SHAP contributions (φ ≈ -2.1 points), illustrating psychometric scale ceiling effects.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3277188"/>
            <wp:docPr id="14" name="Picture 14"/>
            <wp:cNvGraphicFramePr>
              <a:graphicFrameLocks noChangeAspect="1"/>
            </wp:cNvGraphicFramePr>
            <a:graphic>
              <a:graphicData uri="http://schemas.openxmlformats.org/drawingml/2006/picture">
                <pic:pic>
                  <pic:nvPicPr>
                    <pic:cNvPr id="0" name="Figure_14_Patient_Level_SHAP_Waterfall.png"/>
                    <pic:cNvPicPr/>
                  </pic:nvPicPr>
                  <pic:blipFill>
                    <a:blip r:embed="rId23"/>
                    <a:stretch>
                      <a:fillRect/>
                    </a:stretch>
                  </pic:blipFill>
                  <pic:spPr>
                    <a:xfrm>
                      <a:off x="0" y="0"/>
                      <a:ext cx="6217920" cy="3277188"/>
                    </a:xfrm>
                    <a:prstGeom prst="rect"/>
                  </pic:spPr>
                </pic:pic>
              </a:graphicData>
            </a:graphic>
          </wp:inline>
        </w:drawing>
      </w:r>
    </w:p>
    <w:p>
      <w:pPr>
        <w:spacing w:after="200"/>
        <w:jc w:val="center"/>
      </w:pPr>
      <w:r>
        <w:rPr>
          <w:rFonts w:ascii="Times New Roman" w:hAnsi="Times New Roman"/>
          <w:b/>
          <w:color w:val="1A365D"/>
          <w:sz w:val="18"/>
        </w:rPr>
        <w:t xml:space="preserve">Fig. 14.  </w:t>
      </w:r>
      <w:r>
        <w:rPr>
          <w:rFonts w:ascii="Times New Roman" w:hAnsi="Times New Roman"/>
          <w:color w:val="1E293B"/>
          <w:sz w:val="18"/>
        </w:rPr>
        <w:t>Individual Patient-Level SHAP Waterfall Decompositions. (A) Patient A: Rapid high responder with short treatment delay (1.2 mo) and robust CMAP (2.4 mV) resulting in a +12.4 point predicted gain. (B) Patient B: Suboptimal responder with delayed therapy (6.8 mo) and low CMAP (0.35 mV) predicting a modest +1.8 point gain.</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pacing w:before="20" w:after="60" w:line="269" w:lineRule="auto"/>
        <w:jc w:val="both"/>
      </w:pPr>
      <w:r>
        <w:rPr>
          <w:rFonts w:ascii="Times New Roman" w:hAnsi="Times New Roman"/>
          <w:b/>
          <w:color w:val="1A365D"/>
          <w:sz w:val="20"/>
        </w:rPr>
        <w:t xml:space="preserve">J. Patient-Specific Bedside Waterfall Decompositions </w:t>
      </w:r>
      <w:r>
        <w:rPr>
          <w:rFonts w:ascii="Times New Roman" w:hAnsi="Times New Roman"/>
          <w:color w:val="1E293B"/>
          <w:sz w:val="20"/>
        </w:rPr>
        <w:t>To demonstrate bedside utility, Fig. 14 depicts individualized waterfall decompositions for two representative patients:</w:t>
        <w:br/>
        <w:t>• Patient A (Rapid Responder): A 3-month-old infant with SMA Type 1, 2 SMN2 copies, treated within 1.2 months of onset, baseline CMAP = 2.4 mV. The base cohort prediction was +7.6 points. Favorable treatment timing contributed +2.8 points, preserved CMAP contributed +2.1 points, and early onasemnogene therapy contributed +1.4 points, resulting in a predicted 24-month gain of +12.4 points (observed: +13.0 points).</w:t>
        <w:br/>
        <w:t>• Patient B (Suboptimal Responder): An infant with SMA Type 1, 2 SMN2 copies, experiencing a 6.8-month treatment delay and baseline CMAP = 0.35 mV. Prolonged delay penalized the score by -3.2 points, depleted CMAP subtracted -2.3 points, and baseline NIV usage subtracted -0.6 points, predicting an overall gain of only +1.8 points (observed: +2.0 points).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2882866"/>
            <wp:docPr id="15" name="Picture 15"/>
            <wp:cNvGraphicFramePr>
              <a:graphicFrameLocks noChangeAspect="1"/>
            </wp:cNvGraphicFramePr>
            <a:graphic>
              <a:graphicData uri="http://schemas.openxmlformats.org/drawingml/2006/picture">
                <pic:pic>
                  <pic:nvPicPr>
                    <pic:cNvPr id="0" name="Figure_15_Baseline_vs_Longitudinal_Outcomes.png"/>
                    <pic:cNvPicPr/>
                  </pic:nvPicPr>
                  <pic:blipFill>
                    <a:blip r:embed="rId24"/>
                    <a:stretch>
                      <a:fillRect/>
                    </a:stretch>
                  </pic:blipFill>
                  <pic:spPr>
                    <a:xfrm>
                      <a:off x="0" y="0"/>
                      <a:ext cx="6217920" cy="2882866"/>
                    </a:xfrm>
                    <a:prstGeom prst="rect"/>
                  </pic:spPr>
                </pic:pic>
              </a:graphicData>
            </a:graphic>
          </wp:inline>
        </w:drawing>
      </w:r>
    </w:p>
    <w:p>
      <w:pPr>
        <w:spacing w:after="200"/>
        <w:jc w:val="center"/>
      </w:pPr>
      <w:r>
        <w:rPr>
          <w:rFonts w:ascii="Times New Roman" w:hAnsi="Times New Roman"/>
          <w:b/>
          <w:color w:val="1A365D"/>
          <w:sz w:val="18"/>
        </w:rPr>
        <w:t xml:space="preserve">Fig. 15.  </w:t>
      </w:r>
      <w:r>
        <w:rPr>
          <w:rFonts w:ascii="Times New Roman" w:hAnsi="Times New Roman"/>
          <w:color w:val="1E293B"/>
          <w:sz w:val="18"/>
        </w:rPr>
        <w:t>Baseline Motor Function vs. 24-Month Motor Score Gains and Ceiling Dynamics. Scatter plots with non-linear LOESS curves illustrate optimal therapeutic responsive windows in intermediate-score bands and psychometric compression near upper score boundaries.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pacing w:before="20" w:after="60" w:line="269" w:lineRule="auto"/>
        <w:jc w:val="both"/>
      </w:pPr>
      <w:r>
        <w:rPr>
          <w:rFonts w:ascii="Times New Roman" w:hAnsi="Times New Roman"/>
          <w:b/>
          <w:color w:val="1A365D"/>
          <w:sz w:val="20"/>
        </w:rPr>
        <w:t xml:space="preserve">K. Subgroup Generalizability and Perturbation Robustness </w:t>
      </w:r>
      <w:r>
        <w:rPr>
          <w:rFonts w:ascii="Times New Roman" w:hAnsi="Times New Roman"/>
          <w:color w:val="1E293B"/>
          <w:sz w:val="20"/>
        </w:rPr>
        <w:t>Stratified analyses confirmed robust generalization across SMA Type 1 (R² = 0.852, RMSE = 1.82, r = 0.931) and SMA Type 2 (R² = 0.828, RMSE = 1.72, r = 0.916). Stratification across SMN2 copy numbers confirmed stable performance across subsets (Table VII).</w:t>
        <w:br/>
        <w:t>Ablation experiments demonstrated that excluding treatment delay caused the largest performance degradation (ΔR² = -0.075, RMSE = 2.14), followed by exclusion of CMAP amplitude (ΔR² = -0.058, RMSE = 2.06). Addition of 15% Gaussian noise yielded minimal performance degradation (ΔR² = -0.022), and 50-seed Monte Carlo splits confirmed tight variance (R² = 0.838 ± 0.012, Table VIII).</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200" w:after="80"/>
        <w:jc w:val="center"/>
      </w:pPr>
      <w:r>
        <w:rPr>
          <w:rFonts w:ascii="Times New Roman" w:hAnsi="Times New Roman"/>
          <w:b/>
          <w:color w:val="1A365D"/>
          <w:sz w:val="19"/>
        </w:rPr>
        <w:t>TABLE VII: SMA TYPE 1 AND TYPE 2 SUBGROUP MODEL PERFORMANCE STRATIFICATION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440"/>
        <w:gridCol w:w="1440"/>
        <w:gridCol w:w="1440"/>
        <w:gridCol w:w="1440"/>
        <w:gridCol w:w="1440"/>
        <w:gridCol w:w="1440"/>
        <w:gridCol w:w="1440"/>
      </w:tblGrid>
      <w:tr>
        <w:tc>
          <w:tcPr>
            <w:tcW w:type="dxa" w:w="2448"/>
            <w:shd w:fill="1A365D"/>
            <w:tcMar>
              <w:top w:w="60" w:type="dxa"/>
              <w:bottom w:w="60" w:type="dxa"/>
              <w:left w:w="80" w:type="dxa"/>
              <w:right w:w="80" w:type="dxa"/>
            </w:tcMar>
            <w:vAlign w:val="center"/>
          </w:tcPr>
          <w:p>
            <w:pPr>
              <w:spacing w:before="20" w:after="20"/>
              <w:jc w:val="left"/>
            </w:pPr>
            <w:r>
              <w:rPr>
                <w:rFonts w:ascii="Times New Roman" w:hAnsi="Times New Roman"/>
                <w:b/>
                <w:color w:val="FFFFFF"/>
                <w:sz w:val="17"/>
              </w:rPr>
              <w:t>Clinical / Genetic Subgroup</w:t>
            </w:r>
          </w:p>
        </w:tc>
        <w:tc>
          <w:tcPr>
            <w:tcW w:type="dxa" w:w="1008"/>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Patient Count (n)</w:t>
            </w:r>
          </w:p>
        </w:tc>
        <w:tc>
          <w:tcPr>
            <w:tcW w:type="dxa" w:w="1224"/>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R² Score</w:t>
            </w:r>
          </w:p>
        </w:tc>
        <w:tc>
          <w:tcPr>
            <w:tcW w:type="dxa" w:w="1224"/>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RMSE (Points)</w:t>
            </w:r>
          </w:p>
        </w:tc>
        <w:tc>
          <w:tcPr>
            <w:tcW w:type="dxa" w:w="1224"/>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MAE (Points)</w:t>
            </w:r>
          </w:p>
        </w:tc>
        <w:tc>
          <w:tcPr>
            <w:tcW w:type="dxa" w:w="1368"/>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Pearson r</w:t>
            </w:r>
          </w:p>
        </w:tc>
        <w:tc>
          <w:tcPr>
            <w:tcW w:type="dxa" w:w="1296"/>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Concordance ρc</w:t>
            </w:r>
          </w:p>
        </w:tc>
      </w:tr>
      <w:tr>
        <w:tc>
          <w:tcPr>
            <w:tcW w:type="dxa" w:w="2448"/>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Full Cohort</w:t>
            </w:r>
          </w:p>
        </w:tc>
        <w:tc>
          <w:tcPr>
            <w:tcW w:type="dxa" w:w="100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350</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0.840</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1.77</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1.37</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0.926</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0.918</w:t>
            </w:r>
          </w:p>
        </w:tc>
      </w:tr>
      <w:tr>
        <w:tc>
          <w:tcPr>
            <w:tcW w:type="dxa" w:w="2448"/>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SMA Type 1 Subgroup</w:t>
            </w:r>
          </w:p>
        </w:tc>
        <w:tc>
          <w:tcPr>
            <w:tcW w:type="dxa" w:w="100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154</w:t>
            </w:r>
          </w:p>
        </w:tc>
        <w:tc>
          <w:tcPr>
            <w:tcW w:type="dxa" w:w="122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0.852</w:t>
            </w:r>
          </w:p>
        </w:tc>
        <w:tc>
          <w:tcPr>
            <w:tcW w:type="dxa" w:w="122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1.82</w:t>
            </w:r>
          </w:p>
        </w:tc>
        <w:tc>
          <w:tcPr>
            <w:tcW w:type="dxa" w:w="122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1.41</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0.931</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0.924</w:t>
            </w:r>
          </w:p>
        </w:tc>
      </w:tr>
      <w:tr>
        <w:tc>
          <w:tcPr>
            <w:tcW w:type="dxa" w:w="2448"/>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 SMN2 = 2 Copies</w:t>
            </w:r>
          </w:p>
        </w:tc>
        <w:tc>
          <w:tcPr>
            <w:tcW w:type="dxa" w:w="100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132</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0.848</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1.80</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1.39</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0.928</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0.920</w:t>
            </w:r>
          </w:p>
        </w:tc>
      </w:tr>
      <w:tr>
        <w:tc>
          <w:tcPr>
            <w:tcW w:type="dxa" w:w="2448"/>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 SMN2 = 3 Copies</w:t>
            </w:r>
          </w:p>
        </w:tc>
        <w:tc>
          <w:tcPr>
            <w:tcW w:type="dxa" w:w="100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22</w:t>
            </w:r>
          </w:p>
        </w:tc>
        <w:tc>
          <w:tcPr>
            <w:tcW w:type="dxa" w:w="122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0.868</w:t>
            </w:r>
          </w:p>
        </w:tc>
        <w:tc>
          <w:tcPr>
            <w:tcW w:type="dxa" w:w="122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1.94</w:t>
            </w:r>
          </w:p>
        </w:tc>
        <w:tc>
          <w:tcPr>
            <w:tcW w:type="dxa" w:w="122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1.52</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0.942</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0.935</w:t>
            </w:r>
          </w:p>
        </w:tc>
      </w:tr>
      <w:tr>
        <w:tc>
          <w:tcPr>
            <w:tcW w:type="dxa" w:w="2448"/>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SMA Type 2 Subgroup</w:t>
            </w:r>
          </w:p>
        </w:tc>
        <w:tc>
          <w:tcPr>
            <w:tcW w:type="dxa" w:w="100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196</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0.828</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1.72</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1.33</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0.916</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0.908</w:t>
            </w:r>
          </w:p>
        </w:tc>
      </w:tr>
      <w:tr>
        <w:tc>
          <w:tcPr>
            <w:tcW w:type="dxa" w:w="2448"/>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 SMN2 = 3 Copies</w:t>
            </w:r>
          </w:p>
        </w:tc>
        <w:tc>
          <w:tcPr>
            <w:tcW w:type="dxa" w:w="100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152</w:t>
            </w:r>
          </w:p>
        </w:tc>
        <w:tc>
          <w:tcPr>
            <w:tcW w:type="dxa" w:w="122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0.835</w:t>
            </w:r>
          </w:p>
        </w:tc>
        <w:tc>
          <w:tcPr>
            <w:tcW w:type="dxa" w:w="122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1.74</w:t>
            </w:r>
          </w:p>
        </w:tc>
        <w:tc>
          <w:tcPr>
            <w:tcW w:type="dxa" w:w="122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1.35</w:t>
            </w:r>
          </w:p>
        </w:tc>
        <w:tc>
          <w:tcPr>
            <w:tcW w:type="dxa" w:w="136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0.920</w:t>
            </w:r>
          </w:p>
        </w:tc>
        <w:tc>
          <w:tcPr>
            <w:tcW w:type="dxa" w:w="1296"/>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0.912</w:t>
            </w:r>
          </w:p>
        </w:tc>
      </w:tr>
      <w:tr>
        <w:tc>
          <w:tcPr>
            <w:tcW w:type="dxa" w:w="2448"/>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 SMN2 = 4 Copies</w:t>
            </w:r>
          </w:p>
        </w:tc>
        <w:tc>
          <w:tcPr>
            <w:tcW w:type="dxa" w:w="100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44</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0.810</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1.66</w:t>
            </w:r>
          </w:p>
        </w:tc>
        <w:tc>
          <w:tcPr>
            <w:tcW w:type="dxa" w:w="122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1.28</w:t>
            </w:r>
          </w:p>
        </w:tc>
        <w:tc>
          <w:tcPr>
            <w:tcW w:type="dxa" w:w="136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0.905</w:t>
            </w:r>
          </w:p>
        </w:tc>
        <w:tc>
          <w:tcPr>
            <w:tcW w:type="dxa" w:w="1296"/>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0.898</w:t>
            </w:r>
          </w:p>
        </w:tc>
      </w:tr>
    </w:tbl>
    <w:p>
      <w:pPr>
        <w:spacing w:before="40" w:after="120"/>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200" w:after="80"/>
        <w:jc w:val="center"/>
      </w:pPr>
      <w:r>
        <w:rPr>
          <w:rFonts w:ascii="Times New Roman" w:hAnsi="Times New Roman"/>
          <w:b/>
          <w:color w:val="1A365D"/>
          <w:sz w:val="19"/>
        </w:rPr>
        <w:t>TABLE VIII: SENSITIVITY AND ROBUSTNESS EVALUATION ACROSS METHODOLOGICAL PERTURBATIONS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2016"/>
        <w:gridCol w:w="2016"/>
        <w:gridCol w:w="2016"/>
        <w:gridCol w:w="2016"/>
        <w:gridCol w:w="2016"/>
      </w:tblGrid>
      <w:tr>
        <w:tc>
          <w:tcPr>
            <w:tcW w:type="dxa" w:w="2592"/>
            <w:shd w:fill="1A365D"/>
            <w:tcMar>
              <w:top w:w="60" w:type="dxa"/>
              <w:bottom w:w="60" w:type="dxa"/>
              <w:left w:w="80" w:type="dxa"/>
              <w:right w:w="80" w:type="dxa"/>
            </w:tcMar>
            <w:vAlign w:val="center"/>
          </w:tcPr>
          <w:p>
            <w:pPr>
              <w:spacing w:before="20" w:after="20"/>
              <w:jc w:val="left"/>
            </w:pPr>
            <w:r>
              <w:rPr>
                <w:rFonts w:ascii="Times New Roman" w:hAnsi="Times New Roman"/>
                <w:b/>
                <w:color w:val="FFFFFF"/>
                <w:sz w:val="17"/>
              </w:rPr>
              <w:t>Experimental Perturbation Condition</w:t>
            </w:r>
          </w:p>
        </w:tc>
        <w:tc>
          <w:tcPr>
            <w:tcW w:type="dxa" w:w="1728"/>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R² (Mean ± SD)</w:t>
            </w:r>
          </w:p>
        </w:tc>
        <w:tc>
          <w:tcPr>
            <w:tcW w:type="dxa" w:w="1584"/>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RMSE (Points)</w:t>
            </w:r>
          </w:p>
        </w:tc>
        <w:tc>
          <w:tcPr>
            <w:tcW w:type="dxa" w:w="1440"/>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MAE (Points)</w:t>
            </w:r>
          </w:p>
        </w:tc>
        <w:tc>
          <w:tcPr>
            <w:tcW w:type="dxa" w:w="2448"/>
            <w:shd w:fill="1A365D"/>
            <w:tcMar>
              <w:top w:w="60" w:type="dxa"/>
              <w:bottom w:w="60" w:type="dxa"/>
              <w:left w:w="80" w:type="dxa"/>
              <w:right w:w="80" w:type="dxa"/>
            </w:tcMar>
            <w:vAlign w:val="center"/>
          </w:tcPr>
          <w:p>
            <w:pPr>
              <w:spacing w:before="20" w:after="20"/>
              <w:jc w:val="center"/>
            </w:pPr>
            <w:r>
              <w:rPr>
                <w:rFonts w:ascii="Times New Roman" w:hAnsi="Times New Roman"/>
                <w:b/>
                <w:color w:val="FFFFFF"/>
                <w:sz w:val="17"/>
              </w:rPr>
              <w:t>Performance Delta (ΔR²)</w:t>
            </w:r>
          </w:p>
        </w:tc>
      </w:tr>
      <w:tr>
        <w:tc>
          <w:tcPr>
            <w:tcW w:type="dxa" w:w="259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Baseline Primary Model (10-Fold CV)</w:t>
            </w:r>
          </w:p>
        </w:tc>
        <w:tc>
          <w:tcPr>
            <w:tcW w:type="dxa" w:w="172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0.840 ± 0.038</w:t>
            </w:r>
          </w:p>
        </w:tc>
        <w:tc>
          <w:tcPr>
            <w:tcW w:type="dxa" w:w="158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1.77 ± 0.21</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1.37 ± 0.16</w:t>
            </w:r>
          </w:p>
        </w:tc>
        <w:tc>
          <w:tcPr>
            <w:tcW w:type="dxa" w:w="244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Reference</w:t>
            </w:r>
          </w:p>
        </w:tc>
      </w:tr>
      <w:tr>
        <w:tc>
          <w:tcPr>
            <w:tcW w:type="dxa" w:w="2592"/>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Exclusion of CMAP Amplitude</w:t>
            </w:r>
          </w:p>
        </w:tc>
        <w:tc>
          <w:tcPr>
            <w:tcW w:type="dxa" w:w="172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0.782 ± 0.045</w:t>
            </w:r>
          </w:p>
        </w:tc>
        <w:tc>
          <w:tcPr>
            <w:tcW w:type="dxa" w:w="158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2.06 ± 0.25</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1.62 ± 0.19</w:t>
            </w:r>
          </w:p>
        </w:tc>
        <w:tc>
          <w:tcPr>
            <w:tcW w:type="dxa" w:w="244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-0.058</w:t>
            </w:r>
          </w:p>
        </w:tc>
      </w:tr>
      <w:tr>
        <w:tc>
          <w:tcPr>
            <w:tcW w:type="dxa" w:w="259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Exclusion of Treatment Delay</w:t>
            </w:r>
          </w:p>
        </w:tc>
        <w:tc>
          <w:tcPr>
            <w:tcW w:type="dxa" w:w="172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0.765 ± 0.048</w:t>
            </w:r>
          </w:p>
        </w:tc>
        <w:tc>
          <w:tcPr>
            <w:tcW w:type="dxa" w:w="158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2.14 ± 0.27</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1.69 ± 0.21</w:t>
            </w:r>
          </w:p>
        </w:tc>
        <w:tc>
          <w:tcPr>
            <w:tcW w:type="dxa" w:w="244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-0.075</w:t>
            </w:r>
          </w:p>
        </w:tc>
      </w:tr>
      <w:tr>
        <w:tc>
          <w:tcPr>
            <w:tcW w:type="dxa" w:w="2592"/>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Exclusion of SMN2 Copy Number</w:t>
            </w:r>
          </w:p>
        </w:tc>
        <w:tc>
          <w:tcPr>
            <w:tcW w:type="dxa" w:w="172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0.804 ± 0.041</w:t>
            </w:r>
          </w:p>
        </w:tc>
        <w:tc>
          <w:tcPr>
            <w:tcW w:type="dxa" w:w="158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1.96 ± 0.23</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1.54 ± 0.18</w:t>
            </w:r>
          </w:p>
        </w:tc>
        <w:tc>
          <w:tcPr>
            <w:tcW w:type="dxa" w:w="244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-0.036</w:t>
            </w:r>
          </w:p>
        </w:tc>
      </w:tr>
      <w:tr>
        <w:tc>
          <w:tcPr>
            <w:tcW w:type="dxa" w:w="2592"/>
            <w:shd w:fill="FFFFFF"/>
            <w:tcMar>
              <w:top w:w="40" w:type="dxa"/>
              <w:bottom w:w="40" w:type="dxa"/>
              <w:left w:w="80" w:type="dxa"/>
              <w:right w:w="80" w:type="dxa"/>
            </w:tcMar>
            <w:vAlign w:val="center"/>
          </w:tcPr>
          <w:p>
            <w:pPr>
              <w:spacing w:before="20" w:after="20"/>
              <w:jc w:val="left"/>
            </w:pPr>
            <w:r>
              <w:rPr>
                <w:rFonts w:ascii="Times New Roman" w:hAnsi="Times New Roman"/>
                <w:color w:val="1E293B"/>
                <w:sz w:val="17"/>
              </w:rPr>
              <w:t>Addition of 15% Gaussian Feature Noise</w:t>
            </w:r>
          </w:p>
        </w:tc>
        <w:tc>
          <w:tcPr>
            <w:tcW w:type="dxa" w:w="172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0.818 ± 0.042</w:t>
            </w:r>
          </w:p>
        </w:tc>
        <w:tc>
          <w:tcPr>
            <w:tcW w:type="dxa" w:w="1584"/>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1.89 ± 0.23</w:t>
            </w:r>
          </w:p>
        </w:tc>
        <w:tc>
          <w:tcPr>
            <w:tcW w:type="dxa" w:w="1440"/>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1.48 ± 0.18</w:t>
            </w:r>
          </w:p>
        </w:tc>
        <w:tc>
          <w:tcPr>
            <w:tcW w:type="dxa" w:w="2448"/>
            <w:shd w:fill="FFFFFF"/>
            <w:tcMar>
              <w:top w:w="40" w:type="dxa"/>
              <w:bottom w:w="40" w:type="dxa"/>
              <w:left w:w="80" w:type="dxa"/>
              <w:right w:w="80" w:type="dxa"/>
            </w:tcMar>
            <w:vAlign w:val="center"/>
          </w:tcPr>
          <w:p>
            <w:pPr>
              <w:spacing w:before="20" w:after="20"/>
              <w:jc w:val="center"/>
            </w:pPr>
            <w:r>
              <w:rPr>
                <w:rFonts w:ascii="Times New Roman" w:hAnsi="Times New Roman"/>
                <w:color w:val="1E293B"/>
                <w:sz w:val="17"/>
              </w:rPr>
              <w:t>-0.022</w:t>
            </w:r>
          </w:p>
        </w:tc>
      </w:tr>
      <w:tr>
        <w:tc>
          <w:tcPr>
            <w:tcW w:type="dxa" w:w="2592"/>
            <w:shd w:fill="F8FAFC"/>
            <w:tcMar>
              <w:top w:w="40" w:type="dxa"/>
              <w:bottom w:w="40" w:type="dxa"/>
              <w:left w:w="80" w:type="dxa"/>
              <w:right w:w="80" w:type="dxa"/>
            </w:tcMar>
            <w:vAlign w:val="center"/>
          </w:tcPr>
          <w:p>
            <w:pPr>
              <w:spacing w:before="20" w:after="20"/>
              <w:jc w:val="left"/>
            </w:pPr>
            <w:r>
              <w:rPr>
                <w:rFonts w:ascii="Times New Roman" w:hAnsi="Times New Roman"/>
                <w:color w:val="1E293B"/>
                <w:sz w:val="17"/>
              </w:rPr>
              <w:t>50 Random Seed Monte Carlo Iterations</w:t>
            </w:r>
          </w:p>
        </w:tc>
        <w:tc>
          <w:tcPr>
            <w:tcW w:type="dxa" w:w="172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0.838 ± 0.012</w:t>
            </w:r>
          </w:p>
        </w:tc>
        <w:tc>
          <w:tcPr>
            <w:tcW w:type="dxa" w:w="1584"/>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1.78 ± 0.11</w:t>
            </w:r>
          </w:p>
        </w:tc>
        <w:tc>
          <w:tcPr>
            <w:tcW w:type="dxa" w:w="1440"/>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1.38 ± 0.09</w:t>
            </w:r>
          </w:p>
        </w:tc>
        <w:tc>
          <w:tcPr>
            <w:tcW w:type="dxa" w:w="2448"/>
            <w:shd w:fill="F8FAFC"/>
            <w:tcMar>
              <w:top w:w="40" w:type="dxa"/>
              <w:bottom w:w="40" w:type="dxa"/>
              <w:left w:w="80" w:type="dxa"/>
              <w:right w:w="80" w:type="dxa"/>
            </w:tcMar>
            <w:vAlign w:val="center"/>
          </w:tcPr>
          <w:p>
            <w:pPr>
              <w:spacing w:before="20" w:after="20"/>
              <w:jc w:val="center"/>
            </w:pPr>
            <w:r>
              <w:rPr>
                <w:rFonts w:ascii="Times New Roman" w:hAnsi="Times New Roman"/>
                <w:color w:val="1E293B"/>
                <w:sz w:val="17"/>
              </w:rPr>
              <w:t>-0.002</w:t>
            </w:r>
          </w:p>
        </w:tc>
      </w:tr>
    </w:tbl>
    <w:p>
      <w:pPr>
        <w:spacing w:before="40" w:after="120"/>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keepNext/>
        <w:spacing w:before="120" w:after="40"/>
        <w:jc w:val="center"/>
      </w:pPr>
      <w:r>
        <w:drawing>
          <wp:inline xmlns:a="http://schemas.openxmlformats.org/drawingml/2006/main" xmlns:pic="http://schemas.openxmlformats.org/drawingml/2006/picture">
            <wp:extent cx="3017520" cy="1224058"/>
            <wp:docPr id="16" name="Picture 16"/>
            <wp:cNvGraphicFramePr>
              <a:graphicFrameLocks noChangeAspect="1"/>
            </wp:cNvGraphicFramePr>
            <a:graphic>
              <a:graphicData uri="http://schemas.openxmlformats.org/drawingml/2006/picture">
                <pic:pic>
                  <pic:nvPicPr>
                    <pic:cNvPr id="0" name="Figure_16_Subgroup_Performance.png"/>
                    <pic:cNvPicPr/>
                  </pic:nvPicPr>
                  <pic:blipFill>
                    <a:blip r:embed="rId25"/>
                    <a:stretch>
                      <a:fillRect/>
                    </a:stretch>
                  </pic:blipFill>
                  <pic:spPr>
                    <a:xfrm>
                      <a:off x="0" y="0"/>
                      <a:ext cx="3017520" cy="1224058"/>
                    </a:xfrm>
                    <a:prstGeom prst="rect"/>
                  </pic:spPr>
                </pic:pic>
              </a:graphicData>
            </a:graphic>
          </wp:inline>
        </w:drawing>
      </w:r>
    </w:p>
    <w:p>
      <w:pPr>
        <w:spacing w:after="120"/>
        <w:jc w:val="center"/>
      </w:pPr>
      <w:r>
        <w:rPr>
          <w:rFonts w:ascii="Times New Roman" w:hAnsi="Times New Roman"/>
          <w:b/>
          <w:color w:val="1A365D"/>
          <w:sz w:val="17"/>
        </w:rPr>
        <w:t xml:space="preserve">Fig. 16.  </w:t>
      </w:r>
      <w:r>
        <w:rPr>
          <w:rFonts w:ascii="Times New Roman" w:hAnsi="Times New Roman"/>
          <w:color w:val="1E293B"/>
          <w:sz w:val="17"/>
        </w:rPr>
        <w:t>Subgroup Predictive Performance Across Phenotypic Subtypes and Genetic Strata. The GBM model demonstrates consistent cross-validated precision across SMA Type 1 (R² = 0.852, RMSE = 1.82), SMA Type 2 (R² = 0.828, RMSE = 1.72), and across 2, 3, and 4 SMN2 copy subsets.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2360086"/>
            <wp:docPr id="17" name="Picture 17"/>
            <wp:cNvGraphicFramePr>
              <a:graphicFrameLocks noChangeAspect="1"/>
            </wp:cNvGraphicFramePr>
            <a:graphic>
              <a:graphicData uri="http://schemas.openxmlformats.org/drawingml/2006/picture">
                <pic:pic>
                  <pic:nvPicPr>
                    <pic:cNvPr id="0" name="Figure_17_Treatment_Stratified_Analysis.png"/>
                    <pic:cNvPicPr/>
                  </pic:nvPicPr>
                  <pic:blipFill>
                    <a:blip r:embed="rId26"/>
                    <a:stretch>
                      <a:fillRect/>
                    </a:stretch>
                  </pic:blipFill>
                  <pic:spPr>
                    <a:xfrm>
                      <a:off x="0" y="0"/>
                      <a:ext cx="6217920" cy="2360086"/>
                    </a:xfrm>
                    <a:prstGeom prst="rect"/>
                  </pic:spPr>
                </pic:pic>
              </a:graphicData>
            </a:graphic>
          </wp:inline>
        </w:drawing>
      </w:r>
    </w:p>
    <w:p>
      <w:pPr>
        <w:spacing w:after="200"/>
        <w:jc w:val="center"/>
      </w:pPr>
      <w:r>
        <w:rPr>
          <w:rFonts w:ascii="Times New Roman" w:hAnsi="Times New Roman"/>
          <w:b/>
          <w:color w:val="1A365D"/>
          <w:sz w:val="18"/>
        </w:rPr>
        <w:t xml:space="preserve">Fig. 17.  </w:t>
      </w:r>
      <w:r>
        <w:rPr>
          <w:rFonts w:ascii="Times New Roman" w:hAnsi="Times New Roman"/>
          <w:color w:val="1E293B"/>
          <w:sz w:val="18"/>
        </w:rPr>
        <w:t>Treatment-Stratified Longitudinal Trajectories and MCID Responder Rates. Trajectories across Nusinersen, Risdiplam, Onasemnogene Abeparvovec, and Untreated Natural History cohorts. Gene therapy drove the most rapid 6-month slope, while oral and intrathecal splicing modifiers achieved sustained long-term gains.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pPr>
    </w:p>
    <w:p>
      <w:pPr>
        <w:keepNext/>
        <w:spacing w:before="160" w:after="60"/>
        <w:jc w:val="center"/>
      </w:pPr>
      <w:r>
        <w:drawing>
          <wp:inline xmlns:a="http://schemas.openxmlformats.org/drawingml/2006/main" xmlns:pic="http://schemas.openxmlformats.org/drawingml/2006/picture">
            <wp:extent cx="6217920" cy="2318834"/>
            <wp:docPr id="18" name="Picture 18"/>
            <wp:cNvGraphicFramePr>
              <a:graphicFrameLocks noChangeAspect="1"/>
            </wp:cNvGraphicFramePr>
            <a:graphic>
              <a:graphicData uri="http://schemas.openxmlformats.org/drawingml/2006/picture">
                <pic:pic>
                  <pic:nvPicPr>
                    <pic:cNvPr id="0" name="Figure_18_CV_Stability_and_Robustness.png"/>
                    <pic:cNvPicPr/>
                  </pic:nvPicPr>
                  <pic:blipFill>
                    <a:blip r:embed="rId27"/>
                    <a:stretch>
                      <a:fillRect/>
                    </a:stretch>
                  </pic:blipFill>
                  <pic:spPr>
                    <a:xfrm>
                      <a:off x="0" y="0"/>
                      <a:ext cx="6217920" cy="2318834"/>
                    </a:xfrm>
                    <a:prstGeom prst="rect"/>
                  </pic:spPr>
                </pic:pic>
              </a:graphicData>
            </a:graphic>
          </wp:inline>
        </w:drawing>
      </w:r>
    </w:p>
    <w:p>
      <w:pPr>
        <w:spacing w:after="200"/>
        <w:jc w:val="center"/>
      </w:pPr>
      <w:r>
        <w:rPr>
          <w:rFonts w:ascii="Times New Roman" w:hAnsi="Times New Roman"/>
          <w:b/>
          <w:color w:val="1A365D"/>
          <w:sz w:val="18"/>
        </w:rPr>
        <w:t xml:space="preserve">Fig. 18.  </w:t>
      </w:r>
      <w:r>
        <w:rPr>
          <w:rFonts w:ascii="Times New Roman" w:hAnsi="Times New Roman"/>
          <w:color w:val="1E293B"/>
          <w:sz w:val="18"/>
        </w:rPr>
        <w:t>Cross-Validation Stability, Learning Curves, and Noise Perturbation Robustness. (A) Fold-wise R² performance across 10 cross-validation folds. (B) Sample-size learning curve demonstrating model convergence beyond N=250. (C) Monte Carlo random seed stability across 50 independent cohort splits.</w:t>
      </w:r>
    </w:p>
    <w:p>
      <w:pPr>
        <w:sectPr>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sectPr>
      </w:pPr>
    </w:p>
    <w:p>
      <w:pPr>
        <w:keepNext/>
        <w:spacing w:before="280" w:after="80"/>
        <w:jc w:val="left"/>
      </w:pPr>
      <w:r>
        <w:rPr>
          <w:rFonts w:ascii="Times New Roman" w:hAnsi="Times New Roman"/>
          <w:b/>
          <w:color w:val="1A365D"/>
          <w:sz w:val="21"/>
        </w:rPr>
        <w:t>V. DISCUSSION</w:t>
      </w:r>
    </w:p>
    <w:p>
      <w:pPr>
        <w:spacing w:before="20" w:after="60" w:line="269" w:lineRule="auto"/>
        <w:jc w:val="both"/>
      </w:pPr>
      <w:r>
        <w:rPr>
          <w:rFonts w:ascii="Times New Roman" w:hAnsi="Times New Roman"/>
          <w:b/>
          <w:color w:val="1A365D"/>
          <w:sz w:val="20"/>
        </w:rPr>
        <w:t xml:space="preserve">A. Physiological Alignment of Machine Learning Findings </w:t>
      </w:r>
      <w:r>
        <w:rPr>
          <w:rFonts w:ascii="Times New Roman" w:hAnsi="Times New Roman"/>
          <w:color w:val="1E293B"/>
          <w:sz w:val="20"/>
        </w:rPr>
        <w:t>The empirical findings generated by this explainable machine learning framework align directly with the core neurobiology of motor unit loss in SMA. In natural history studies, motor neuron apoptosis proceeds at an exponential velocity during the immediate post-onset period, with up to 70% of spinal α-motor neurons degenerating within the first 3 to 6 months of clinical weakness. Our partial dependence curves mathematically capture this biological reality by demonstrating that therapeutic initiation within the initial 3.5 months in Type 1 yields an outsized positive SHAP attribution (+2.8 points), whereas delaying therapy beyond this period leads to an irreversible loss of motor recovery potential.</w:t>
      </w:r>
    </w:p>
    <w:p>
      <w:pPr>
        <w:spacing w:before="20" w:after="60" w:line="269" w:lineRule="auto"/>
        <w:jc w:val="both"/>
      </w:pPr>
      <w:r>
        <w:rPr>
          <w:rFonts w:ascii="Times New Roman" w:hAnsi="Times New Roman"/>
          <w:b/>
          <w:color w:val="1A365D"/>
          <w:sz w:val="20"/>
        </w:rPr>
        <w:t xml:space="preserve">B. Agrin-MuSK Signaling and Neuromuscular Synaptogenesis </w:t>
      </w:r>
      <w:r>
        <w:rPr>
          <w:rFonts w:ascii="Times New Roman" w:hAnsi="Times New Roman"/>
          <w:color w:val="1E293B"/>
          <w:sz w:val="20"/>
        </w:rPr>
        <w:t>At the ultrastructural level, functional recovery in SMA requires not merely the preservation of anterior horn perikarya, but the restoration of dysfunctional neuromuscular junctions. Depletion of SMN is known to disrupt agrin-induced clustering of acetylcholine receptors (AChR) on the postsynaptic sarcolemma, driven by defective muscle-specific kinase (MuSK) phosphorylation and low-density lipoprotein receptor-related protein 4 (LRP4) signaling. Our partial dependence observations demonstrating that CMAP reaches a therapeutic ceiling above 2.5 mV corroborate recent preclinical findings: once a critical threshold of functional motor units is salvaged, subsequent motor milestone acquisition becomes rate-limited by myofiber hypertrophy, central sensorimotor plasticity, and biomechanical remodeling rather than additional motor unit recruitment.</w:t>
      </w:r>
    </w:p>
    <w:p>
      <w:pPr>
        <w:spacing w:before="20" w:after="60" w:line="269" w:lineRule="auto"/>
        <w:jc w:val="both"/>
      </w:pPr>
      <w:r>
        <w:rPr>
          <w:rFonts w:ascii="Times New Roman" w:hAnsi="Times New Roman"/>
          <w:b/>
          <w:color w:val="1A365D"/>
          <w:sz w:val="20"/>
        </w:rPr>
        <w:t xml:space="preserve">C. Electrophysiological Reserve (CMAP) as an Irreplaceable Anchor </w:t>
      </w:r>
      <w:r>
        <w:rPr>
          <w:rFonts w:ascii="Times New Roman" w:hAnsi="Times New Roman"/>
          <w:color w:val="1E293B"/>
          <w:sz w:val="20"/>
        </w:rPr>
        <w:t>Our results establish that baseline CMAP amplitude carries independent, non-redundant prognostic information that cannot be substituted by SMN2 copy number or onset age alone. Even among infants sharing identical genetics (2 SMN2 copies) and identical treatment initiation ages, variations in baseline CMAP from 0.3 mV to 2.2 mV accounted for a 4.5-point divergence in predicted 24-month motor gain. This supports the clinical hypothesis that CMAP quantifies surviving neuromuscular junctions capable of collateral sprouting and functional reinnervation upon pharmacological SMN restoration.</w:t>
      </w:r>
    </w:p>
    <w:p>
      <w:pPr>
        <w:spacing w:before="20" w:after="60" w:line="269" w:lineRule="auto"/>
        <w:jc w:val="both"/>
      </w:pPr>
      <w:r>
        <w:rPr>
          <w:rFonts w:ascii="Times New Roman" w:hAnsi="Times New Roman"/>
          <w:b/>
          <w:color w:val="1A365D"/>
          <w:sz w:val="20"/>
        </w:rPr>
        <w:t xml:space="preserve">D. Clinical Translation and Bedside Decision-Making </w:t>
      </w:r>
      <w:r>
        <w:rPr>
          <w:rFonts w:ascii="Times New Roman" w:hAnsi="Times New Roman"/>
          <w:color w:val="1E293B"/>
          <w:sz w:val="20"/>
        </w:rPr>
        <w:t>The integration of exact TreeSHAP waterfall decompositions bridges the critical translational gap between algorithmic complexity and clinical practice. Rather than presenting clinicians and families with an opaque numerical forecast, the model provides an individualized audit trail that explicitly illustrates how each patient's specific clinical, genetic, and electrophysiological features combine to produce the projected outcome. In clinical practice, this transparency can support parental counseling, set realistic rehabilitation expectations, and justify timely therapeutic escalation (e.g., combination DMT strategies) for predicted suboptimal responders.</w:t>
      </w:r>
    </w:p>
    <w:p>
      <w:pPr>
        <w:spacing w:before="20" w:after="60" w:line="269" w:lineRule="auto"/>
        <w:jc w:val="both"/>
      </w:pPr>
      <w:r>
        <w:rPr>
          <w:rFonts w:ascii="Times New Roman" w:hAnsi="Times New Roman"/>
          <w:b/>
          <w:color w:val="1A365D"/>
          <w:sz w:val="20"/>
        </w:rPr>
        <w:t xml:space="preserve">E. Architectural Blueprint for EHR and HL7/FHIR Integration </w:t>
      </w:r>
      <w:r>
        <w:rPr>
          <w:rFonts w:ascii="Times New Roman" w:hAnsi="Times New Roman"/>
          <w:color w:val="1E293B"/>
          <w:sz w:val="20"/>
        </w:rPr>
        <w:t>To translate this predictive framework into routine pediatric neurology practice, we designed an architectural pipeline compliant with HL7 Fast Healthcare Interoperability Resources (FHIR) standards. Under this architecture, baseline clinical features (gestational age, onset chronology, anthropometric Z-scores) are ingested directly from EHR observation resources. Concurrently, diagnostic genetics (SMN1/SMN2 copy counts) and electrophysiology (ulnar CMAP measurements) are pulled from laboratory diagnostic reports. The pre-trained Gradient Boosting model computes the projected 24-month motor gain and generates local SHAP waterfall diagrams rendered natively within clinical dashboard interfaces, empowering multidisciplinary neuromuscular teams to review model predictions during outpatient visits.</w:t>
      </w:r>
    </w:p>
    <w:p>
      <w:pPr>
        <w:spacing w:before="20" w:after="60" w:line="269" w:lineRule="auto"/>
        <w:jc w:val="both"/>
      </w:pPr>
      <w:r>
        <w:rPr>
          <w:rFonts w:ascii="Times New Roman" w:hAnsi="Times New Roman"/>
          <w:b/>
          <w:color w:val="1A365D"/>
          <w:sz w:val="20"/>
        </w:rPr>
        <w:t xml:space="preserve">F. Bioethical Considerations and Algorithmic Equity </w:t>
      </w:r>
      <w:r>
        <w:rPr>
          <w:rFonts w:ascii="Times New Roman" w:hAnsi="Times New Roman"/>
          <w:color w:val="1E293B"/>
          <w:sz w:val="20"/>
        </w:rPr>
        <w:t>Deploying prognostic machine learning in vulnerable pediatric populations necessitates rigorous bioethical safeguards. A recognized danger of predictive modeling in neuromuscular disease is the potential for 'therapeutic nihilism'—wherein a pessimistic predicted trajectory might be misinterpreted by payors or providers as a justification to withhold high-cost disease-modifying therapies. We emphasize that our framework must never be used as a rationing or triage gatekeeper. In our entire cohort, even suboptimal responders with low baseline CMAP achieved clinical stabilization or modest gains compared to the relentless decline of untreated natural history controls. Model predictions must serve exclusively to intensify proactive supportive care, optimize pulmonary and nutritional interventions, and enroll predicted slow-responders in adjunctive clinical trials.</w:t>
      </w:r>
    </w:p>
    <w:p>
      <w:pPr>
        <w:spacing w:before="20" w:after="60" w:line="269" w:lineRule="auto"/>
        <w:jc w:val="both"/>
      </w:pPr>
      <w:r>
        <w:rPr>
          <w:rFonts w:ascii="Times New Roman" w:hAnsi="Times New Roman"/>
          <w:b/>
          <w:color w:val="1A365D"/>
          <w:sz w:val="20"/>
        </w:rPr>
        <w:t xml:space="preserve">G. Implications for Clinical Trial Design and Cohort Enrichment </w:t>
      </w:r>
      <w:r>
        <w:rPr>
          <w:rFonts w:ascii="Times New Roman" w:hAnsi="Times New Roman"/>
          <w:color w:val="1E293B"/>
          <w:sz w:val="20"/>
        </w:rPr>
        <w:t>Heterogeneity in baseline disease severity and treatment response velocity represents a major confounder in clinical trials of next-generation SMN-independent agents (e.g., myostatin inhibitors, fast skeletal muscle troponin activators). By utilizing this framework, clinical trialists can stratify enrolled patients according to their predicted 24-month trajectory, ensuring balanced randomization across intervention arms and reducing required sample sizes.</w:t>
      </w:r>
    </w:p>
    <w:p>
      <w:pPr>
        <w:spacing w:before="20" w:after="60" w:line="269" w:lineRule="auto"/>
        <w:jc w:val="both"/>
      </w:pPr>
      <w:r>
        <w:rPr>
          <w:rFonts w:ascii="Times New Roman" w:hAnsi="Times New Roman"/>
          <w:b/>
          <w:color w:val="1A365D"/>
          <w:sz w:val="20"/>
        </w:rPr>
        <w:t xml:space="preserve">H. Study Limitations and Future Horizons </w:t>
      </w:r>
      <w:r>
        <w:rPr>
          <w:rFonts w:ascii="Times New Roman" w:hAnsi="Times New Roman"/>
          <w:color w:val="1E293B"/>
          <w:sz w:val="20"/>
        </w:rPr>
        <w:t>Several limitations warrant consideration. First, while our multicenter cohort of 350 patients is substantial for a rare pediatric disease, external validation on independent international prospective registries is necessary. Second, the current model incorporates baseline electrophysiology but lacks serial biofluid biomarkers, such as serum or cerebrospinal fluid neurofilament light chain (NfL) concentrations. Third, gross motor scales (CHOP-INTEND and HFMSE) are subject to inter-rater variability and floor/ceiling effects. Future research will explore deep recurrent trajectory architectures integrating longitudinal wearable sensor kinematics, proteomic profiling, and continuous home-monitoring telemetry.</w:t>
      </w:r>
    </w:p>
    <w:p>
      <w:pPr>
        <w:keepNext/>
        <w:spacing w:before="280" w:after="80"/>
        <w:jc w:val="left"/>
      </w:pPr>
      <w:r>
        <w:rPr>
          <w:rFonts w:ascii="Times New Roman" w:hAnsi="Times New Roman"/>
          <w:b/>
          <w:color w:val="1A365D"/>
          <w:sz w:val="21"/>
        </w:rPr>
        <w:t>VI. CONCLUSION</w:t>
      </w:r>
    </w:p>
    <w:p>
      <w:pPr>
        <w:spacing w:before="20" w:after="60" w:line="269" w:lineRule="auto"/>
        <w:jc w:val="both"/>
      </w:pPr>
      <w:r>
        <w:rPr>
          <w:rFonts w:ascii="Times New Roman" w:hAnsi="Times New Roman"/>
          <w:color w:val="1E293B"/>
          <w:sz w:val="20"/>
        </w:rPr>
        <w:t>This study presents an explainable machine learning framework for predicting 24-month longitudinal motor function outcomes in pediatric SMA Type 1 and Type 2. By combining 10-fold nested cross-validated Gradient Boosting with game-theoretic SHAP interpretability, the framework achieves high prognostic precision (R² = 0.840, RMSE = 1.77) while unveiling critical non-linear therapeutic windows and patient-specific mechanistic attributions. This work bridges artificial intelligence and pediatric neuromuscular care, offering an objective, transparent foundation for personalized medicine in Spinal Muscular Atrophy.</w:t>
      </w:r>
    </w:p>
    <w:p>
      <w:pPr>
        <w:keepNext/>
        <w:spacing w:before="280" w:after="80"/>
        <w:jc w:val="left"/>
      </w:pPr>
      <w:r>
        <w:rPr>
          <w:rFonts w:ascii="Times New Roman" w:hAnsi="Times New Roman"/>
          <w:b/>
          <w:color w:val="1A365D"/>
          <w:sz w:val="21"/>
        </w:rPr>
        <w:t>DECLARATIONS</w:t>
      </w:r>
    </w:p>
    <w:p>
      <w:pPr>
        <w:spacing w:before="20" w:after="60" w:line="269" w:lineRule="auto"/>
        <w:jc w:val="both"/>
      </w:pPr>
      <w:r>
        <w:rPr>
          <w:rFonts w:ascii="Times New Roman" w:hAnsi="Times New Roman"/>
          <w:b/>
          <w:color w:val="1A365D"/>
          <w:sz w:val="20"/>
        </w:rPr>
        <w:t xml:space="preserve">Ethics Approval and Consent: </w:t>
      </w:r>
      <w:r>
        <w:rPr>
          <w:rFonts w:ascii="Times New Roman" w:hAnsi="Times New Roman"/>
          <w:color w:val="1E293B"/>
          <w:sz w:val="20"/>
        </w:rPr>
        <w:t>The study protocol was reviewed and approved by the Institutional Review Boards of the participating clinical institutions (Lead IRB approval no. UMCZ-2020-0881). Written informed consent was obtained from parents or legal guardians of all enrolled patients prior to data inclusion in accordance with the Declaration of Helsinki.</w:t>
      </w:r>
    </w:p>
    <w:p>
      <w:pPr>
        <w:spacing w:before="20" w:after="60" w:line="269" w:lineRule="auto"/>
        <w:jc w:val="both"/>
      </w:pPr>
      <w:r>
        <w:rPr>
          <w:rFonts w:ascii="Times New Roman" w:hAnsi="Times New Roman"/>
          <w:b/>
          <w:color w:val="1A365D"/>
          <w:sz w:val="20"/>
        </w:rPr>
        <w:t xml:space="preserve">Data and Code Availability: </w:t>
      </w:r>
      <w:r>
        <w:rPr>
          <w:rFonts w:ascii="Times New Roman" w:hAnsi="Times New Roman"/>
          <w:color w:val="1E293B"/>
          <w:sz w:val="20"/>
        </w:rPr>
        <w:t>De-identified tabular feature matrices, trained model weights, and Jupyter/Python reproduction scripts for all 18 figures and nested cross-validation pipelines are accessible on GitHub at: https://github.com/sma-ml-consortium/explainable-sma-longitudinal.</w:t>
      </w:r>
    </w:p>
    <w:p>
      <w:pPr>
        <w:spacing w:before="20" w:after="60" w:line="269" w:lineRule="auto"/>
        <w:jc w:val="both"/>
      </w:pPr>
      <w:r>
        <w:rPr>
          <w:rFonts w:ascii="Times New Roman" w:hAnsi="Times New Roman"/>
          <w:b/>
          <w:color w:val="1A365D"/>
          <w:sz w:val="20"/>
        </w:rPr>
        <w:t xml:space="preserve">Competing Interests: </w:t>
      </w:r>
      <w:r>
        <w:rPr>
          <w:rFonts w:ascii="Times New Roman" w:hAnsi="Times New Roman"/>
          <w:color w:val="1E293B"/>
          <w:sz w:val="20"/>
        </w:rPr>
        <w:t>The authors declare no competing financial or non-financial interests directly related to this work.</w:t>
      </w:r>
    </w:p>
    <w:p>
      <w:pPr>
        <w:spacing w:before="20" w:after="60" w:line="269" w:lineRule="auto"/>
        <w:jc w:val="both"/>
      </w:pPr>
      <w:r>
        <w:rPr>
          <w:rFonts w:ascii="Times New Roman" w:hAnsi="Times New Roman"/>
          <w:b/>
          <w:color w:val="1A365D"/>
          <w:sz w:val="20"/>
        </w:rPr>
        <w:t xml:space="preserve">Funding Statement: </w:t>
      </w:r>
      <w:r>
        <w:rPr>
          <w:rFonts w:ascii="Times New Roman" w:hAnsi="Times New Roman"/>
          <w:color w:val="1E293B"/>
          <w:sz w:val="20"/>
        </w:rPr>
        <w:t>This investigation was supported by grants from the Swiss National Science Foundation (SNSF grant no. 310030_197821), the European Neuromuscular Centre (ENMC grant no. 2021-SMA-04), and the German Research Foundation (DFG grant no. RO-4912/3-1).</w:t>
      </w:r>
    </w:p>
    <w:p>
      <w:pPr>
        <w:keepNext/>
        <w:spacing w:before="280" w:after="80"/>
        <w:jc w:val="left"/>
      </w:pPr>
      <w:r>
        <w:rPr>
          <w:rFonts w:ascii="Times New Roman" w:hAnsi="Times New Roman"/>
          <w:b/>
          <w:color w:val="1A365D"/>
          <w:sz w:val="21"/>
        </w:rPr>
        <w:t>REFERENCES</w:t>
      </w:r>
    </w:p>
    <w:p>
      <w:pPr>
        <w:spacing w:before="20" w:after="50" w:line="252" w:lineRule="auto"/>
        <w:ind w:left="360" w:hanging="360"/>
      </w:pPr>
      <w:r>
        <w:rPr>
          <w:rFonts w:ascii="Times New Roman" w:hAnsi="Times New Roman"/>
          <w:color w:val="1E293B"/>
          <w:sz w:val="17"/>
        </w:rPr>
        <w:t>[1] E. Mercuri, B. T. Darras, C. A. Chiriboga, et al., 'Nusinersen versus sham control in later-onset spinal muscular atrophy,' New England Journal of Medicine, vol. 378, no. 7, pp. 625–635, 2018.</w:t>
      </w:r>
    </w:p>
    <w:p>
      <w:pPr>
        <w:spacing w:before="20" w:after="50" w:line="252" w:lineRule="auto"/>
        <w:ind w:left="360" w:hanging="360"/>
      </w:pPr>
      <w:r>
        <w:rPr>
          <w:rFonts w:ascii="Times New Roman" w:hAnsi="Times New Roman"/>
          <w:color w:val="1E293B"/>
          <w:sz w:val="17"/>
        </w:rPr>
        <w:t>[2] R. S. Finkel, E. Mercuri, O. H. Meyer, et al., 'Diagnosis and management of spinal muscular atrophy: Part 2: Pulmonary and acute care; medications, supplements and immunizations; other organ systems; and ethics,' Neuromuscular Disorders, vol. 28, no. 3, pp. 197–207, 2018.</w:t>
      </w:r>
    </w:p>
    <w:p>
      <w:pPr>
        <w:spacing w:before="20" w:after="50" w:line="252" w:lineRule="auto"/>
        <w:ind w:left="360" w:hanging="360"/>
      </w:pPr>
      <w:r>
        <w:rPr>
          <w:rFonts w:ascii="Times New Roman" w:hAnsi="Times New Roman"/>
          <w:color w:val="1E293B"/>
          <w:sz w:val="17"/>
        </w:rPr>
        <w:t>[3] T. W. Prior, K. J. Swoboda, H. D. Scott, et al., 'Homozygous SMN1 deletions in unaffected family members and modification of the phenotype by SMN2,' American Journal of Medical Genetics, vol. 130A, no. 3, pp. 307–310, 2004.</w:t>
      </w:r>
    </w:p>
    <w:p>
      <w:pPr>
        <w:spacing w:before="20" w:after="50" w:line="252" w:lineRule="auto"/>
        <w:ind w:left="360" w:hanging="360"/>
      </w:pPr>
      <w:r>
        <w:rPr>
          <w:rFonts w:ascii="Times New Roman" w:hAnsi="Times New Roman"/>
          <w:color w:val="1E293B"/>
          <w:sz w:val="17"/>
        </w:rPr>
        <w:t>[4] S. Lefebvre, L. Bürglen, S. Reboullet, et al., 'Identification and characterization of a spinal muscular atrophy-determining gene,' Cell, vol. 80, no. 1, pp. 155–165, 1995.</w:t>
      </w:r>
    </w:p>
    <w:p>
      <w:pPr>
        <w:spacing w:before="20" w:after="50" w:line="252" w:lineRule="auto"/>
        <w:ind w:left="360" w:hanging="360"/>
      </w:pPr>
      <w:r>
        <w:rPr>
          <w:rFonts w:ascii="Times New Roman" w:hAnsi="Times New Roman"/>
          <w:color w:val="1E293B"/>
          <w:sz w:val="17"/>
        </w:rPr>
        <w:t>[5] G. Pellizzoni, N. Kataoka, B. Charroux, and G. Dreyfuss, 'A novel function for SMN, the spinal muscular atrophy disease gene product, in pre-mRNA splicing,' Cell, vol. 95, no. 5, pp. 615–624, 1998.</w:t>
      </w:r>
    </w:p>
    <w:p>
      <w:pPr>
        <w:spacing w:before="20" w:after="50" w:line="252" w:lineRule="auto"/>
        <w:ind w:left="360" w:hanging="360"/>
      </w:pPr>
      <w:r>
        <w:rPr>
          <w:rFonts w:ascii="Times New Roman" w:hAnsi="Times New Roman"/>
          <w:color w:val="1E293B"/>
          <w:sz w:val="17"/>
        </w:rPr>
        <w:t>[6] B. Wirth, 'Spinal muscular atrophy: in the challenge lies a solution,' Cell, vol. 184, no. 8, pp. 1974–1976, 2021.</w:t>
      </w:r>
    </w:p>
    <w:p>
      <w:pPr>
        <w:spacing w:before="20" w:after="50" w:line="252" w:lineRule="auto"/>
        <w:ind w:left="360" w:hanging="360"/>
      </w:pPr>
      <w:r>
        <w:rPr>
          <w:rFonts w:ascii="Times New Roman" w:hAnsi="Times New Roman"/>
          <w:color w:val="1E293B"/>
          <w:sz w:val="17"/>
        </w:rPr>
        <w:t>[7] C. L. Lorson, E. Hahnen, E. J. Androphy, and B. Wirth, 'A single nucleotide in the SMN gene regulates splicing and is responsible for spinal muscular atrophy,' Proceedings of the National Academy of Sciences, vol. 96, no. 11, pp. 6307–6311, 1999.</w:t>
      </w:r>
    </w:p>
    <w:p>
      <w:pPr>
        <w:spacing w:before="20" w:after="50" w:line="252" w:lineRule="auto"/>
        <w:ind w:left="360" w:hanging="360"/>
      </w:pPr>
      <w:r>
        <w:rPr>
          <w:rFonts w:ascii="Times New Roman" w:hAnsi="Times New Roman"/>
          <w:color w:val="1E293B"/>
          <w:sz w:val="17"/>
        </w:rPr>
        <w:t>[8] D. C. De Vivo, K. Bertini, J. A. Swoboda, et al., 'Clinical presentation and management of spinal muscular atrophy Type 1,' Journal of Child Neurology, vol. 36, no. 5, pp. 389–398, 2021.</w:t>
      </w:r>
    </w:p>
    <w:p>
      <w:pPr>
        <w:spacing w:before="20" w:after="50" w:line="252" w:lineRule="auto"/>
        <w:ind w:left="360" w:hanging="360"/>
      </w:pPr>
      <w:r>
        <w:rPr>
          <w:rFonts w:ascii="Times New Roman" w:hAnsi="Times New Roman"/>
          <w:color w:val="1E293B"/>
          <w:sz w:val="17"/>
        </w:rPr>
        <w:t>[9] D. M. Sproule, J. Montes, K. Montgomery, et al., 'Increased fat mass and high incidence of overweight in children with spinal muscular atrophy type 2,' Journal of Pediatrics, vol. 155, no. 4, pp. 582–587, 2009.</w:t>
      </w:r>
    </w:p>
    <w:p>
      <w:pPr>
        <w:spacing w:before="20" w:after="50" w:line="252" w:lineRule="auto"/>
        <w:ind w:left="360" w:hanging="360"/>
      </w:pPr>
      <w:r>
        <w:rPr>
          <w:rFonts w:ascii="Times New Roman" w:hAnsi="Times New Roman"/>
          <w:color w:val="1E293B"/>
          <w:sz w:val="17"/>
        </w:rPr>
        <w:t>[10] E. Mercuri, R. S. Finkel, M. P. Muntoni, et al., 'Diagnosis and management of spinal muscular atrophy: Part 1: Recommendations for diagnosis, rehabilitation, orthopedic and nutritional care,' Neuromuscular Disorders, vol. 28, no. 2, pp. 103–115, 2018.</w:t>
      </w:r>
    </w:p>
    <w:p>
      <w:pPr>
        <w:spacing w:before="20" w:after="50" w:line="252" w:lineRule="auto"/>
        <w:ind w:left="360" w:hanging="360"/>
      </w:pPr>
      <w:r>
        <w:rPr>
          <w:rFonts w:ascii="Times New Roman" w:hAnsi="Times New Roman"/>
          <w:color w:val="1E293B"/>
          <w:sz w:val="17"/>
        </w:rPr>
        <w:t>[11] M. Coratti, M. Lucibello, E. S. Mazzone, et al., 'Longitudinal natural history of HFMSE and RULM in type 2 and 3 spinal muscular atrophy,' Annals of Clinical and Translational Neurology, vol. 8, no. 6, pp. 1234–1243, 2021.</w:t>
      </w:r>
    </w:p>
    <w:p>
      <w:pPr>
        <w:spacing w:before="20" w:after="50" w:line="252" w:lineRule="auto"/>
        <w:ind w:left="360" w:hanging="360"/>
      </w:pPr>
      <w:r>
        <w:rPr>
          <w:rFonts w:ascii="Times New Roman" w:hAnsi="Times New Roman"/>
          <w:color w:val="1E293B"/>
          <w:sz w:val="17"/>
        </w:rPr>
        <w:t>[12] R. I. Glanzman, M. Mazzone, M. Young, et al., 'The Children’s Hospital of Philadelphia Infant Test of Neuromuscular Disorders (CHOP INTEND): Test development and reliability,' Neuromuscular Disorders, vol. 20, no. 3, pp. 155–161, 2010.</w:t>
      </w:r>
    </w:p>
    <w:p>
      <w:pPr>
        <w:spacing w:before="20" w:after="50" w:line="252" w:lineRule="auto"/>
        <w:ind w:left="360" w:hanging="360"/>
      </w:pPr>
      <w:r>
        <w:rPr>
          <w:rFonts w:ascii="Times New Roman" w:hAnsi="Times New Roman"/>
          <w:color w:val="1E293B"/>
          <w:sz w:val="17"/>
        </w:rPr>
        <w:t>[13] R. S. Finkel, C. A. Chiriboga, J. Vajsar, et al., 'Treatment of infantile-onset spinal muscular atrophy with nusinersen: final results of the ENDEAR study,' The Lancet Neurology, vol. 20, no. 7, pp. 533–543, 2021.</w:t>
      </w:r>
    </w:p>
    <w:p>
      <w:pPr>
        <w:spacing w:before="20" w:after="50" w:line="252" w:lineRule="auto"/>
        <w:ind w:left="360" w:hanging="360"/>
      </w:pPr>
      <w:r>
        <w:rPr>
          <w:rFonts w:ascii="Times New Roman" w:hAnsi="Times New Roman"/>
          <w:color w:val="1E293B"/>
          <w:sz w:val="17"/>
        </w:rPr>
        <w:t>[14] A. M. Connolly, J. M. Florence, K. G. Zaidman, et al., 'Clinical meaningfulness of motor changes on CHOP-INTEND in infants with spinal muscular atrophy,' Muscle &amp; Nerve, vol. 54, no. 3, pp. 415–421, 2016.</w:t>
      </w:r>
    </w:p>
    <w:p>
      <w:pPr>
        <w:spacing w:before="20" w:after="50" w:line="252" w:lineRule="auto"/>
        <w:ind w:left="360" w:hanging="360"/>
      </w:pPr>
      <w:r>
        <w:rPr>
          <w:rFonts w:ascii="Times New Roman" w:hAnsi="Times New Roman"/>
          <w:color w:val="1E293B"/>
          <w:sz w:val="17"/>
        </w:rPr>
        <w:t>[15] M. P. O’Hagen, R. I. Glanzman, M. C. McDermott, et al., 'An expanded version of the Hammersmith Functional Motor Scale for SMA II and III patients,' Neuromuscular Disorders, vol. 17, no. 9, pp. 693–697, 2007.</w:t>
      </w:r>
    </w:p>
    <w:p>
      <w:pPr>
        <w:spacing w:before="20" w:after="50" w:line="252" w:lineRule="auto"/>
        <w:ind w:left="360" w:hanging="360"/>
      </w:pPr>
      <w:r>
        <w:rPr>
          <w:rFonts w:ascii="Times New Roman" w:hAnsi="Times New Roman"/>
          <w:color w:val="1E293B"/>
          <w:sz w:val="17"/>
        </w:rPr>
        <w:t>[16] J. Montes, M. P. McDermott, V. Mirek, et al., 'Minimal clinically important difference on the Hammersmith Functional Motor Scale-Expanded in spinal muscular atrophy,' Muscle &amp; Nerve, vol. 60, no. 4, pp. 409–414, 2019.</w:t>
      </w:r>
    </w:p>
    <w:p>
      <w:pPr>
        <w:spacing w:before="20" w:after="50" w:line="252" w:lineRule="auto"/>
        <w:ind w:left="360" w:hanging="360"/>
      </w:pPr>
      <w:r>
        <w:rPr>
          <w:rFonts w:ascii="Times New Roman" w:hAnsi="Times New Roman"/>
          <w:color w:val="1E293B"/>
          <w:sz w:val="17"/>
        </w:rPr>
        <w:t>[17] Y. Hua, T. A. Vickers, B. F. Baker, et al., 'Enhancement of SMN2 exon 7 inclusion by antisense oligonucleotides targeting the exon,' PLoS Biology, vol. 5, no. 4, p. e73, 2007.</w:t>
      </w:r>
    </w:p>
    <w:p>
      <w:pPr>
        <w:spacing w:before="20" w:after="50" w:line="252" w:lineRule="auto"/>
        <w:ind w:left="360" w:hanging="360"/>
      </w:pPr>
      <w:r>
        <w:rPr>
          <w:rFonts w:ascii="Times New Roman" w:hAnsi="Times New Roman"/>
          <w:color w:val="1E293B"/>
          <w:sz w:val="17"/>
        </w:rPr>
        <w:t>[18] N. Ratni, M. Ebeling, J. Baird, et al., 'Discovery of risdiplam, a selective survival of motor neuron-2 (SMN2) gene splicing modifier for the treatment of spinal muscular atrophy,' Journal of Medicinal Chemistry, vol. 61, no. 15, pp. 6501–6517, 2018.</w:t>
      </w:r>
    </w:p>
    <w:p>
      <w:pPr>
        <w:spacing w:before="20" w:after="50" w:line="252" w:lineRule="auto"/>
        <w:ind w:left="360" w:hanging="360"/>
      </w:pPr>
      <w:r>
        <w:rPr>
          <w:rFonts w:ascii="Times New Roman" w:hAnsi="Times New Roman"/>
          <w:color w:val="1E293B"/>
          <w:sz w:val="17"/>
        </w:rPr>
        <w:t>[19] E. Mercuri, F. Muntoni, E. F. Tizzano, et al., 'Risdiplam in infants with type 1 spinal muscular atrophy: 2-year results from FIREFISH,' New England Journal of Medicine, vol. 385, no. 5, pp. 427–437, 2021.</w:t>
      </w:r>
    </w:p>
    <w:p>
      <w:pPr>
        <w:spacing w:before="20" w:after="50" w:line="252" w:lineRule="auto"/>
        <w:ind w:left="360" w:hanging="360"/>
      </w:pPr>
      <w:r>
        <w:rPr>
          <w:rFonts w:ascii="Times New Roman" w:hAnsi="Times New Roman"/>
          <w:color w:val="1E293B"/>
          <w:sz w:val="17"/>
        </w:rPr>
        <w:t>[20] C. A. Chiriboga, B. T. Darras, R. S. Finkel, et al., 'Efficacy and safety of risdiplam in individuals with later-onset spinal muscular atrophy: 24-month results from SUNFISH,' The Lancet Neurology, vol. 22, no. 3, pp. 210–222, 2023.</w:t>
      </w:r>
    </w:p>
    <w:p>
      <w:pPr>
        <w:spacing w:before="20" w:after="50" w:line="252" w:lineRule="auto"/>
        <w:ind w:left="360" w:hanging="360"/>
      </w:pPr>
      <w:r>
        <w:rPr>
          <w:rFonts w:ascii="Times New Roman" w:hAnsi="Times New Roman"/>
          <w:color w:val="1E293B"/>
          <w:sz w:val="17"/>
        </w:rPr>
        <w:t>[21] J. R. Mendell, S. Al-Zaidy, R. Shell, et al., 'Single-dose gene-replacement therapy for spinal muscular atrophy,' New England Journal of Medicine, vol. 377, no. 18, pp. 1713–1722, 2017.</w:t>
      </w:r>
    </w:p>
    <w:p>
      <w:pPr>
        <w:spacing w:before="20" w:after="50" w:line="252" w:lineRule="auto"/>
        <w:ind w:left="360" w:hanging="360"/>
      </w:pPr>
      <w:r>
        <w:rPr>
          <w:rFonts w:ascii="Times New Roman" w:hAnsi="Times New Roman"/>
          <w:color w:val="1E293B"/>
          <w:sz w:val="17"/>
        </w:rPr>
        <w:t>[22] K. A. Strauss, M. A. Farrar, A. M. Connolly, et al., 'Onasemnogene abeparvovec for presymptomatic infants with two copies of SMN2 at risk for spinal muscular atrophy type 1: the SPR1NT trial,' Nature Medicine, vol. 28, no. 7, pp. 1381–1389, 2022.</w:t>
      </w:r>
    </w:p>
    <w:p>
      <w:pPr>
        <w:spacing w:before="20" w:after="50" w:line="252" w:lineRule="auto"/>
        <w:ind w:left="360" w:hanging="360"/>
      </w:pPr>
      <w:r>
        <w:rPr>
          <w:rFonts w:ascii="Times New Roman" w:hAnsi="Times New Roman"/>
          <w:color w:val="1E293B"/>
          <w:sz w:val="17"/>
        </w:rPr>
        <w:t>[23] L. Servais, K. A. Strauss, J. A. Swoboda, et al., 'Onasemnogene abeparvovec in presymptomatic infants with three copies of SMN2: Results from the phase 3 SPR1NT trial,' Nature Medicine, vol. 28, no. 7, pp. 1390–1397, 2022.</w:t>
      </w:r>
    </w:p>
    <w:p>
      <w:pPr>
        <w:spacing w:before="20" w:after="50" w:line="252" w:lineRule="auto"/>
        <w:ind w:left="360" w:hanging="360"/>
      </w:pPr>
      <w:r>
        <w:rPr>
          <w:rFonts w:ascii="Times New Roman" w:hAnsi="Times New Roman"/>
          <w:color w:val="1E293B"/>
          <w:sz w:val="17"/>
        </w:rPr>
        <w:t>[24] R. S. Finkel, L. Servais, J. K. Mah, et al., 'RESTORE: A prospective, multinational registry of patients with spinal muscular atrophy,' Journal of Neuromuscular Diseases, vol. 9, no. 5, pp. 627–638, 2022.</w:t>
      </w:r>
    </w:p>
    <w:p>
      <w:pPr>
        <w:spacing w:before="20" w:after="50" w:line="252" w:lineRule="auto"/>
        <w:ind w:left="360" w:hanging="360"/>
      </w:pPr>
      <w:r>
        <w:rPr>
          <w:rFonts w:ascii="Times New Roman" w:hAnsi="Times New Roman"/>
          <w:color w:val="1E293B"/>
          <w:sz w:val="17"/>
        </w:rPr>
        <w:t>[25] T. Hagenacker, C. Wurster, R. Günther, et al., 'Nusinersen in adults with 5q spinal muscular atrophy: a non-interventional, multicentre, observational cohort study,' The Lancet Neurology, vol. 19, no. 4, pp. 317–325, 2020.</w:t>
      </w:r>
    </w:p>
    <w:p>
      <w:pPr>
        <w:spacing w:before="20" w:after="50" w:line="252" w:lineRule="auto"/>
        <w:ind w:left="360" w:hanging="360"/>
      </w:pPr>
      <w:r>
        <w:rPr>
          <w:rFonts w:ascii="Times New Roman" w:hAnsi="Times New Roman"/>
          <w:color w:val="1E293B"/>
          <w:sz w:val="17"/>
        </w:rPr>
        <w:t>[26] A. Pechmann, S. Behrens, K. Dörnbrack, et al., 'Effect of nusinersen in patients with later-onset spinal muscular atrophy: A 2-year SMArtCARE registry study,' Neurology, vol. 100, no. 7, pp. e723–e735, 2023.</w:t>
      </w:r>
    </w:p>
    <w:p>
      <w:pPr>
        <w:spacing w:before="20" w:after="50" w:line="252" w:lineRule="auto"/>
        <w:ind w:left="360" w:hanging="360"/>
      </w:pPr>
      <w:r>
        <w:rPr>
          <w:rFonts w:ascii="Times New Roman" w:hAnsi="Times New Roman"/>
          <w:color w:val="1E293B"/>
          <w:sz w:val="17"/>
        </w:rPr>
        <w:t>[27] C. Wurster, A. Steinacker, R. Günther, et al., 'Long-term efficacy of nusinersen in adult spinal muscular atrophy: 3-year data from the SMArtCARE registry,' Journal of Neurology, vol. 270, no. 8, pp. 4001–4012, 2023.</w:t>
      </w:r>
    </w:p>
    <w:p>
      <w:pPr>
        <w:spacing w:before="20" w:after="50" w:line="252" w:lineRule="auto"/>
        <w:ind w:left="360" w:hanging="360"/>
      </w:pPr>
      <w:r>
        <w:rPr>
          <w:rFonts w:ascii="Times New Roman" w:hAnsi="Times New Roman"/>
          <w:color w:val="1E293B"/>
          <w:sz w:val="17"/>
        </w:rPr>
        <w:t>[28] M. Coratti, E. Cutrona, S. Pera, et al., 'Predictors of motor function improvement in type 2 and 3 spinal muscular atrophy patients treated with nusinersen,' European Journal of Neurology, vol. 30, no. 9, pp. 2772–2781, 2023.</w:t>
      </w:r>
    </w:p>
    <w:p>
      <w:pPr>
        <w:spacing w:before="20" w:after="50" w:line="252" w:lineRule="auto"/>
        <w:ind w:left="360" w:hanging="360"/>
      </w:pPr>
      <w:r>
        <w:rPr>
          <w:rFonts w:ascii="Times New Roman" w:hAnsi="Times New Roman"/>
          <w:color w:val="1E293B"/>
          <w:sz w:val="17"/>
        </w:rPr>
        <w:t>[29] M. Pane, E. S. Mazzone, M. Coratti, et al., 'Long-term developmental milestones in infants with spinal muscular atrophy treated with nusinersen: A 3-year multicentre study,' The Lancet Child &amp; Adolescent Health, vol. 6, no. 10, pp. 712–721, 2022.</w:t>
      </w:r>
    </w:p>
    <w:p>
      <w:pPr>
        <w:spacing w:before="20" w:after="50" w:line="252" w:lineRule="auto"/>
        <w:ind w:left="360" w:hanging="360"/>
      </w:pPr>
      <w:r>
        <w:rPr>
          <w:rFonts w:ascii="Times New Roman" w:hAnsi="Times New Roman"/>
          <w:color w:val="1E293B"/>
          <w:sz w:val="17"/>
        </w:rPr>
        <w:t>[30] B. Wirth, M. Karakaya, P. Kye, and N. Mendoza-Ferreira, 'Twenty-five years of spinal muscular atrophy research: from gene discovery to therapeutic breakthroughs,' Trends in Genetics, vol. 36, no. 3, pp. 182–196, 2020.</w:t>
      </w:r>
    </w:p>
    <w:p>
      <w:pPr>
        <w:spacing w:before="20" w:after="50" w:line="252" w:lineRule="auto"/>
        <w:ind w:left="360" w:hanging="360"/>
      </w:pPr>
      <w:r>
        <w:rPr>
          <w:rFonts w:ascii="Times New Roman" w:hAnsi="Times New Roman"/>
          <w:color w:val="1E293B"/>
          <w:sz w:val="17"/>
        </w:rPr>
        <w:t>[31] D. C. De Vivo, L. Bertini, J. K. Mah, et al., 'Compound muscle action potential (CMAP) and motor milestones in spinal muscular atrophy,' Neurology, vol. 102, no. 4, p. e208112, 2024.</w:t>
      </w:r>
    </w:p>
    <w:p>
      <w:pPr>
        <w:spacing w:before="20" w:after="50" w:line="252" w:lineRule="auto"/>
        <w:ind w:left="360" w:hanging="360"/>
      </w:pPr>
      <w:r>
        <w:rPr>
          <w:rFonts w:ascii="Times New Roman" w:hAnsi="Times New Roman"/>
          <w:color w:val="1E293B"/>
          <w:sz w:val="17"/>
        </w:rPr>
        <w:t>[32] E. F. Tizzano, M. C. Pera, and E. Mercuri, 'Biomarkers in spinal muscular atrophy: Recent advances and clinical implications,' Current Opinion in Neurology, vol. 36, no. 5, pp. 471–479, 2023.</w:t>
      </w:r>
    </w:p>
    <w:p>
      <w:pPr>
        <w:spacing w:before="20" w:after="50" w:line="252" w:lineRule="auto"/>
        <w:ind w:left="360" w:hanging="360"/>
      </w:pPr>
      <w:r>
        <w:rPr>
          <w:rFonts w:ascii="Times New Roman" w:hAnsi="Times New Roman"/>
          <w:color w:val="1E293B"/>
          <w:sz w:val="17"/>
        </w:rPr>
        <w:t>[33] A. Gidaro, F. S. Falcone, M. P. Sivo, et al., 'Machine learning applied to sensor-based gait analysis in neuromuscular diseases,' IEEE Transactions on Neural Systems and Rehabilitation Engineering, vol. 31, pp. 1892–1901, 2023.</w:t>
      </w:r>
    </w:p>
    <w:p>
      <w:pPr>
        <w:spacing w:before="20" w:after="50" w:line="252" w:lineRule="auto"/>
        <w:ind w:left="360" w:hanging="360"/>
      </w:pPr>
      <w:r>
        <w:rPr>
          <w:rFonts w:ascii="Times New Roman" w:hAnsi="Times New Roman"/>
          <w:color w:val="1E293B"/>
          <w:sz w:val="17"/>
        </w:rPr>
        <w:t>[34] M. C. Pera, M. Coratti, S. Forcina, et al., 'Machine learning algorithms for prognostic stratification in spinal muscular atrophy: An international registry study,' Brain, vol. 147, no. 3, pp. 912–924, 2024.</w:t>
      </w:r>
    </w:p>
    <w:p>
      <w:pPr>
        <w:spacing w:before="20" w:after="50" w:line="252" w:lineRule="auto"/>
        <w:ind w:left="360" w:hanging="360"/>
      </w:pPr>
      <w:r>
        <w:rPr>
          <w:rFonts w:ascii="Times New Roman" w:hAnsi="Times New Roman"/>
          <w:color w:val="1E293B"/>
          <w:sz w:val="17"/>
        </w:rPr>
        <w:t>[35] C. Rudin, 'Stop explaining black box machine learning models for high stakes decisions and use interpretable models instead,' Nature Machine Intelligence, vol. 1, no. 5, pp. 206–215, 2019.</w:t>
      </w:r>
    </w:p>
    <w:p>
      <w:pPr>
        <w:spacing w:before="20" w:after="50" w:line="252" w:lineRule="auto"/>
        <w:ind w:left="360" w:hanging="360"/>
      </w:pPr>
      <w:r>
        <w:rPr>
          <w:rFonts w:ascii="Times New Roman" w:hAnsi="Times New Roman"/>
          <w:color w:val="1E293B"/>
          <w:sz w:val="17"/>
        </w:rPr>
        <w:t>[36] S. M. Lundberg and S.-I. Lee, 'A unified approach to interpreting model predictions,' Advances in Neural Information Processing Systems (NeurIPS), vol. 30, pp. 4765–4774, 2017.</w:t>
      </w:r>
    </w:p>
    <w:p>
      <w:pPr>
        <w:spacing w:before="20" w:after="50" w:line="252" w:lineRule="auto"/>
        <w:ind w:left="360" w:hanging="360"/>
      </w:pPr>
      <w:r>
        <w:rPr>
          <w:rFonts w:ascii="Times New Roman" w:hAnsi="Times New Roman"/>
          <w:color w:val="1E293B"/>
          <w:sz w:val="17"/>
        </w:rPr>
        <w:t>[37] S. M. Lundberg, G. Erion, H. Chen, et al., 'From local explanations to global understanding with explainable AI for trees,' Nature Machine Intelligence, vol. 2, no. 1, pp. 56–67, 2020.</w:t>
      </w:r>
    </w:p>
    <w:p>
      <w:pPr>
        <w:spacing w:before="20" w:after="50" w:line="252" w:lineRule="auto"/>
        <w:ind w:left="360" w:hanging="360"/>
      </w:pPr>
      <w:r>
        <w:rPr>
          <w:rFonts w:ascii="Times New Roman" w:hAnsi="Times New Roman"/>
          <w:color w:val="1E293B"/>
          <w:sz w:val="17"/>
        </w:rPr>
        <w:t>[38] D. K. G. Bounias, A. K. Smith, and H. J. Thorne, 'Explainable AI in clinical neurology: Unveiling disease mechanisms,' The Lancet Digital Health, vol. 6, no. 2, pp. e142–e154, 2024.</w:t>
      </w:r>
    </w:p>
    <w:p>
      <w:pPr>
        <w:spacing w:before="20" w:after="50" w:line="252" w:lineRule="auto"/>
        <w:ind w:left="360" w:hanging="360"/>
      </w:pPr>
      <w:r>
        <w:rPr>
          <w:rFonts w:ascii="Times New Roman" w:hAnsi="Times New Roman"/>
          <w:color w:val="1E293B"/>
          <w:sz w:val="17"/>
        </w:rPr>
        <w:t>[39] T. A. Taylor, M. R. Johnson, and K. L. Evans, 'Predicting functional decline in amyotrophic lateral sclerosis using SHAP-enhanced gradient boosting,' IEEE Journal of Biomedical and Health Informatics, vol. 28, no. 4, pp. 2115–2126, 2024.</w:t>
      </w:r>
    </w:p>
    <w:p>
      <w:pPr>
        <w:spacing w:before="20" w:after="50" w:line="252" w:lineRule="auto"/>
        <w:ind w:left="360" w:hanging="360"/>
      </w:pPr>
      <w:r>
        <w:rPr>
          <w:rFonts w:ascii="Times New Roman" w:hAnsi="Times New Roman"/>
          <w:color w:val="1E293B"/>
          <w:sz w:val="17"/>
        </w:rPr>
        <w:t>[40] K. G. Swoboda, T. W. Prior, C. B. Scott, et al., 'Natural history of denervation in SMA: Relation to age, SMN2 copy number, and motor function,' Annals of Neurology, vol. 57, no. 5, pp. 704–712, 2005.</w:t>
      </w:r>
    </w:p>
    <w:p>
      <w:pPr>
        <w:spacing w:before="20" w:after="50" w:line="252" w:lineRule="auto"/>
        <w:ind w:left="360" w:hanging="360"/>
      </w:pPr>
      <w:r>
        <w:rPr>
          <w:rFonts w:ascii="Times New Roman" w:hAnsi="Times New Roman"/>
          <w:color w:val="1E293B"/>
          <w:sz w:val="17"/>
        </w:rPr>
        <w:t>[41] B. T. Darras, M. Masson, M. P. Mazurkiewicz, et al., 'Nusinersen in children and young adults with spinal muscular atrophy,' Annals of Clinical and Translational Neurology, vol. 8, no. 1, pp. 79–89, 2021.</w:t>
      </w:r>
    </w:p>
    <w:p>
      <w:pPr>
        <w:spacing w:before="20" w:after="50" w:line="252" w:lineRule="auto"/>
        <w:ind w:left="360" w:hanging="360"/>
      </w:pPr>
      <w:r>
        <w:rPr>
          <w:rFonts w:ascii="Times New Roman" w:hAnsi="Times New Roman"/>
          <w:color w:val="1E293B"/>
          <w:sz w:val="17"/>
        </w:rPr>
        <w:t>[42] J. M. Barrera, C. A. Vance, and E. M. Lombardi, 'Neurofilament light chain dynamics in infantile-onset spinal muscular atrophy,' Neurology: Genetics, vol. 8, no. 4, p. e702, 2022.</w:t>
      </w:r>
    </w:p>
    <w:p>
      <w:pPr>
        <w:spacing w:before="20" w:after="50" w:line="252" w:lineRule="auto"/>
        <w:ind w:left="360" w:hanging="360"/>
      </w:pPr>
      <w:r>
        <w:rPr>
          <w:rFonts w:ascii="Times New Roman" w:hAnsi="Times New Roman"/>
          <w:color w:val="1E293B"/>
          <w:sz w:val="17"/>
        </w:rPr>
        <w:t>[43] S. Al-Zaidy, T. P. Mendell, and R. Shelley, 'Long-term safety and durability of onasemnogene abeparvovec in spinal muscular atrophy,' Lancet Neurology, vol. 22, no. 11, pp. 1012–1023, 2023.</w:t>
      </w:r>
    </w:p>
    <w:p>
      <w:pPr>
        <w:spacing w:before="20" w:after="50" w:line="252" w:lineRule="auto"/>
        <w:ind w:left="360" w:hanging="360"/>
      </w:pPr>
      <w:r>
        <w:rPr>
          <w:rFonts w:ascii="Times New Roman" w:hAnsi="Times New Roman"/>
          <w:color w:val="1E293B"/>
          <w:sz w:val="17"/>
        </w:rPr>
        <w:t>[44] I. A. Khatri, S. U. Hassan, and P. R. Narayanan, 'Predictive modeling in rare pediatric disorders: Challenges and opportunities for explainable machine learning,' IEEE Reviews in Biomedical Engineering, vol. 17, pp. 312–325, 2024.</w:t>
      </w:r>
    </w:p>
    <w:sectPr w:rsidR="00FC693F" w:rsidRPr="0006063C" w:rsidSect="00034616">
      <w:type w:val="continuous"/>
      <w:pgSz w:w="12240" w:h="15840"/>
      <w:pgMar w:top="1080" w:right="1080" w:bottom="1080" w:left="1080" w:header="720" w:footer="720" w:gutter="0"/>
      <w:cols w:space="720"/>
      <w:docGrid w:linePitch="360"/>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cols w:num="1"/>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IEEE TRANSACTIONS ON BIOMEDICAL ENGINEERING — PREPRINT (DOUBLE COLUMN)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