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0"/>
        </w:rPr>
        <w:t>Research Paper Summary</w:t>
      </w:r>
    </w:p>
    <w:p>
      <w:pPr>
        <w:spacing w:after="80"/>
        <w:jc w:val="center"/>
      </w:pPr>
      <w:r>
        <w:rPr>
          <w:b/>
          <w:i w:val="0"/>
          <w:sz w:val="22"/>
        </w:rPr>
        <w:t>Development of a Bionic Hexapod Robot with Adaptive Gait and Clearance for Enhanced Agricultural Field Scouting</w:t>
      </w:r>
    </w:p>
    <w:p>
      <w:pPr>
        <w:spacing w:after="40"/>
        <w:jc w:val="center"/>
      </w:pPr>
      <w:r>
        <w:rPr>
          <w:b w:val="0"/>
          <w:i w:val="0"/>
          <w:color w:val="555555"/>
          <w:sz w:val="18"/>
        </w:rPr>
        <w:t>Zhenghua Zhang, Weilong He, Fan Wu, Lina Quesada, Lirong Xiang  ·  Frontiers in Robotics and AI, 2024, 11:1426269</w:t>
      </w:r>
    </w:p>
    <w:p>
      <w:pPr>
        <w:spacing w:after="160"/>
        <w:jc w:val="center"/>
      </w:pPr>
      <w:r>
        <w:rPr>
          <w:b w:val="0"/>
          <w:i/>
          <w:color w:val="555555"/>
          <w:sz w:val="18"/>
        </w:rPr>
        <w:t>Application: agricultural field scouting and autonomous navigation</w:t>
      </w:r>
    </w:p>
    <w:p>
      <w:pPr>
        <w:pStyle w:val="Heading1"/>
      </w:pPr>
      <w:r>
        <w:t>1.  Problem Statement</w:t>
      </w:r>
    </w:p>
    <w:p>
      <w:pPr>
        <w:spacing w:after="80"/>
      </w:pPr>
      <w:r>
        <w:rPr>
          <w:b w:val="0"/>
          <w:i w:val="0"/>
          <w:sz w:val="20"/>
        </w:rPr>
        <w:t>Traditional agricultural robots such as wheeled vehicles and drones have limitations in uneven, obstructed and unstructured agricultural environments. Wheeled robots can damage soil and plants and adapt poorly to terrain, while drones have limited ground-level sensing and are affected by wind and obstacles. The researchers therefore developed a six-legged robot capable of stable movement over complex terrain.</w:t>
      </w:r>
    </w:p>
    <w:p>
      <w:pPr>
        <w:pStyle w:val="Heading1"/>
      </w:pPr>
      <w:r>
        <w:t>2.  Objectives</w:t>
      </w:r>
    </w:p>
    <w:p>
      <w:pPr>
        <w:pStyle w:val="ListBullet"/>
        <w:spacing w:after="20" w:line="240" w:lineRule="auto"/>
      </w:pPr>
      <w:r>
        <w:rPr>
          <w:sz w:val="20"/>
        </w:rPr>
        <w:t>Develop a lightweight and flexible bionic hexapod robot.</w:t>
      </w:r>
    </w:p>
    <w:p>
      <w:pPr>
        <w:pStyle w:val="ListBullet"/>
        <w:spacing w:after="20" w:line="240" w:lineRule="auto"/>
      </w:pPr>
      <w:r>
        <w:rPr>
          <w:sz w:val="20"/>
        </w:rPr>
        <w:t>Enable movement over different terrains and slopes.</w:t>
      </w:r>
    </w:p>
    <w:p>
      <w:pPr>
        <w:pStyle w:val="ListBullet"/>
        <w:spacing w:after="20" w:line="240" w:lineRule="auto"/>
      </w:pPr>
      <w:r>
        <w:rPr>
          <w:sz w:val="20"/>
        </w:rPr>
        <w:t>Develop terrain-adaptive gait and adjustable ground clearance.</w:t>
      </w:r>
    </w:p>
    <w:p>
      <w:pPr>
        <w:pStyle w:val="ListBullet"/>
        <w:spacing w:after="20" w:line="240" w:lineRule="auto"/>
      </w:pPr>
      <w:r>
        <w:rPr>
          <w:sz w:val="20"/>
        </w:rPr>
        <w:t>Maintain robot stability using an IMU.</w:t>
      </w:r>
    </w:p>
    <w:p>
      <w:pPr>
        <w:pStyle w:val="ListBullet"/>
        <w:spacing w:after="20" w:line="240" w:lineRule="auto"/>
      </w:pPr>
      <w:r>
        <w:rPr>
          <w:sz w:val="20"/>
        </w:rPr>
        <w:t>Add LiDAR, stereo cameras and distance sensors for autonomous navigation and obstacle avoidance.</w:t>
      </w:r>
    </w:p>
    <w:p>
      <w:pPr>
        <w:pStyle w:val="ListBullet"/>
        <w:spacing w:after="20" w:line="240" w:lineRule="auto"/>
      </w:pPr>
      <w:r>
        <w:rPr>
          <w:sz w:val="20"/>
        </w:rPr>
        <w:t>Evaluate performance in realistic agricultural environments.</w:t>
      </w:r>
    </w:p>
    <w:p>
      <w:pPr>
        <w:pStyle w:val="Heading1"/>
      </w:pPr>
      <w:r>
        <w:t>3.  Robot Design</w:t>
      </w:r>
    </w:p>
    <w:p>
      <w:pPr>
        <w:spacing w:after="80"/>
      </w:pPr>
      <w:r>
        <w:rPr>
          <w:b w:val="0"/>
          <w:i w:val="0"/>
          <w:sz w:val="20"/>
        </w:rPr>
        <w:t>The robot has six legs with three degrees of freedom each, giving eighteen degrees of freedom in total. This provides high mobility and allows individual leg positions to be adjusted for uneven terrain. The body is lightweight and modular, and the robot operates in two clearance modes: a low-clearance mode for efficient movement on relatively flat terrain, and a high-clearance mode for crossing taller obstacles. The standard version uses an IMU and force sensors; the advanced version adds LiDAR, stereo cameras and distance sensors.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512"/>
            <w:shd w:val="clear" w:color="auto" w:fill="E8E8E8"/>
          </w:tcPr>
          <w:p>
            <w:pPr>
              <w:spacing w:after="0"/>
            </w:pPr>
            <w:r/>
            <w:r>
              <w:rPr>
                <w:b/>
                <w:sz w:val="18"/>
              </w:rPr>
              <w:t>Specification</w:t>
            </w:r>
          </w:p>
        </w:tc>
        <w:tc>
          <w:tcPr>
            <w:tcW w:type="dxa" w:w="3456"/>
            <w:shd w:val="clear" w:color="auto" w:fill="E8E8E8"/>
          </w:tcPr>
          <w:p>
            <w:pPr>
              <w:spacing w:after="0"/>
            </w:pPr>
            <w:r/>
            <w:r>
              <w:rPr>
                <w:b/>
                <w:sz w:val="18"/>
              </w:rPr>
              <w:t>Value</w:t>
            </w:r>
          </w:p>
        </w:tc>
        <w:tc>
          <w:tcPr>
            <w:tcW w:type="dxa" w:w="1512"/>
            <w:shd w:val="clear" w:color="auto" w:fill="E8E8E8"/>
          </w:tcPr>
          <w:p>
            <w:pPr>
              <w:spacing w:after="0"/>
            </w:pPr>
            <w:r/>
            <w:r>
              <w:rPr>
                <w:b/>
                <w:sz w:val="18"/>
              </w:rPr>
              <w:t>Specification</w:t>
            </w:r>
          </w:p>
        </w:tc>
        <w:tc>
          <w:tcPr>
            <w:tcW w:type="dxa" w:w="3744"/>
            <w:shd w:val="clear" w:color="auto" w:fill="E8E8E8"/>
          </w:tcPr>
          <w:p>
            <w:pPr>
              <w:spacing w:after="0"/>
            </w:pPr>
            <w:r/>
            <w:r>
              <w:rPr>
                <w:b/>
                <w:sz w:val="18"/>
              </w:rPr>
              <w:t>Value</w:t>
            </w:r>
          </w:p>
        </w:tc>
      </w:tr>
      <w:tr>
        <w:tc>
          <w:tcPr>
            <w:tcW w:type="dxa" w:w="1512"/>
          </w:tcPr>
          <w:p>
            <w:pPr>
              <w:spacing w:after="0" w:line="240" w:lineRule="auto"/>
            </w:pPr>
            <w:r/>
            <w:r>
              <w:rPr>
                <w:b/>
                <w:sz w:val="18"/>
              </w:rPr>
              <w:t>Mass</w:t>
            </w:r>
          </w:p>
        </w:tc>
        <w:tc>
          <w:tcPr>
            <w:tcW w:type="dxa" w:w="3456"/>
          </w:tcPr>
          <w:p>
            <w:pPr>
              <w:spacing w:after="0" w:line="240" w:lineRule="auto"/>
            </w:pPr>
            <w:r/>
            <w:r>
              <w:rPr>
                <w:b w:val="0"/>
                <w:sz w:val="18"/>
              </w:rPr>
              <w:t>4.2 kg without batteries, 4.7 kg with two</w:t>
            </w:r>
          </w:p>
        </w:tc>
        <w:tc>
          <w:tcPr>
            <w:tcW w:type="dxa" w:w="1512"/>
          </w:tcPr>
          <w:p>
            <w:pPr>
              <w:spacing w:after="0" w:line="240" w:lineRule="auto"/>
            </w:pPr>
            <w:r/>
            <w:r>
              <w:rPr>
                <w:b w:val="0"/>
                <w:sz w:val="18"/>
              </w:rPr>
              <w:t>Maximum speed</w:t>
            </w:r>
          </w:p>
        </w:tc>
        <w:tc>
          <w:tcPr>
            <w:tcW w:type="dxa" w:w="3744"/>
          </w:tcPr>
          <w:p>
            <w:pPr>
              <w:spacing w:after="0" w:line="240" w:lineRule="auto"/>
            </w:pPr>
            <w:r/>
            <w:r>
              <w:rPr>
                <w:b w:val="0"/>
                <w:sz w:val="18"/>
              </w:rPr>
              <w:t>Approximately 1.2 m/s</w:t>
            </w:r>
          </w:p>
        </w:tc>
      </w:tr>
      <w:tr>
        <w:tc>
          <w:tcPr>
            <w:tcW w:type="dxa" w:w="1512"/>
          </w:tcPr>
          <w:p>
            <w:pPr>
              <w:spacing w:after="0" w:line="240" w:lineRule="auto"/>
            </w:pPr>
            <w:r/>
            <w:r>
              <w:rPr>
                <w:b/>
                <w:sz w:val="18"/>
              </w:rPr>
              <w:t>Payload</w:t>
            </w:r>
          </w:p>
        </w:tc>
        <w:tc>
          <w:tcPr>
            <w:tcW w:type="dxa" w:w="3456"/>
          </w:tcPr>
          <w:p>
            <w:pPr>
              <w:spacing w:after="0" w:line="240" w:lineRule="auto"/>
            </w:pPr>
            <w:r/>
            <w:r>
              <w:rPr>
                <w:b w:val="0"/>
                <w:sz w:val="18"/>
              </w:rPr>
              <w:t>8 kg</w:t>
            </w:r>
          </w:p>
        </w:tc>
        <w:tc>
          <w:tcPr>
            <w:tcW w:type="dxa" w:w="1512"/>
          </w:tcPr>
          <w:p>
            <w:pPr>
              <w:spacing w:after="0" w:line="240" w:lineRule="auto"/>
            </w:pPr>
            <w:r/>
            <w:r>
              <w:rPr>
                <w:b w:val="0"/>
                <w:sz w:val="18"/>
              </w:rPr>
              <w:t>Battery</w:t>
            </w:r>
          </w:p>
        </w:tc>
        <w:tc>
          <w:tcPr>
            <w:tcW w:type="dxa" w:w="3744"/>
          </w:tcPr>
          <w:p>
            <w:pPr>
              <w:spacing w:after="0" w:line="240" w:lineRule="auto"/>
            </w:pPr>
            <w:r/>
            <w:r>
              <w:rPr>
                <w:b w:val="0"/>
                <w:sz w:val="18"/>
              </w:rPr>
              <w:t>Two 3S LiPo batteries</w:t>
            </w:r>
          </w:p>
        </w:tc>
      </w:tr>
      <w:tr>
        <w:tc>
          <w:tcPr>
            <w:tcW w:type="dxa" w:w="1512"/>
          </w:tcPr>
          <w:p>
            <w:pPr>
              <w:spacing w:after="0" w:line="240" w:lineRule="auto"/>
            </w:pPr>
            <w:r/>
            <w:r>
              <w:rPr>
                <w:b/>
                <w:sz w:val="18"/>
              </w:rPr>
              <w:t>Ground clearance</w:t>
            </w:r>
          </w:p>
        </w:tc>
        <w:tc>
          <w:tcPr>
            <w:tcW w:type="dxa" w:w="3456"/>
          </w:tcPr>
          <w:p>
            <w:pPr>
              <w:spacing w:after="0" w:line="240" w:lineRule="auto"/>
            </w:pPr>
            <w:r/>
            <w:r>
              <w:rPr>
                <w:b w:val="0"/>
                <w:sz w:val="18"/>
              </w:rPr>
              <w:t>6 to 18 cm</w:t>
            </w:r>
          </w:p>
        </w:tc>
        <w:tc>
          <w:tcPr>
            <w:tcW w:type="dxa" w:w="1512"/>
          </w:tcPr>
          <w:p>
            <w:pPr>
              <w:spacing w:after="0" w:line="240" w:lineRule="auto"/>
            </w:pPr>
            <w:r/>
            <w:r>
              <w:rPr>
                <w:b w:val="0"/>
                <w:sz w:val="18"/>
              </w:rPr>
              <w:t>Endurance</w:t>
            </w:r>
          </w:p>
        </w:tc>
        <w:tc>
          <w:tcPr>
            <w:tcW w:type="dxa" w:w="3744"/>
          </w:tcPr>
          <w:p>
            <w:pPr>
              <w:spacing w:after="0" w:line="240" w:lineRule="auto"/>
            </w:pPr>
            <w:r/>
            <w:r>
              <w:rPr>
                <w:b w:val="0"/>
                <w:sz w:val="18"/>
              </w:rPr>
              <w:t>3 h standing, about 1 h at 0.5 m/s</w:t>
            </w:r>
          </w:p>
        </w:tc>
      </w:tr>
    </w:tbl>
    <w:p>
      <w:pPr>
        <w:spacing w:after="60"/>
      </w:pPr>
    </w:p>
    <w:p>
      <w:pPr>
        <w:pStyle w:val="Heading1"/>
      </w:pPr>
      <w:r>
        <w:t>4.  Locomotion and Adaptive Gait</w:t>
      </w:r>
    </w:p>
    <w:p>
      <w:pPr>
        <w:spacing w:after="80"/>
      </w:pPr>
      <w:r>
        <w:rPr>
          <w:b w:val="0"/>
          <w:i w:val="0"/>
          <w:sz w:val="20"/>
        </w:rPr>
        <w:t>The key contribution is a terrain-adaptive locomotion system: the robot changes its gait and leg clearance according to the terrain and obstacle height. The controller takes sensor information and computes joint angles, then walking speed, then direction, and finally the servo commands. This allows the robot to remain stable while crossing uneven ground instead of using one fixed walking pattern.</w:t>
      </w:r>
    </w:p>
    <w:p>
      <w:pPr>
        <w:pStyle w:val="Heading1"/>
      </w:pPr>
      <w:r>
        <w:t>5.  Experimental Results</w:t>
      </w:r>
    </w:p>
    <w:p>
      <w:pPr>
        <w:spacing w:after="80"/>
      </w:pPr>
      <w:r>
        <w:rPr>
          <w:b w:val="0"/>
          <w:i w:val="0"/>
          <w:sz w:val="20"/>
        </w:rPr>
        <w:t>The robot was tested on concrete, grass, rugged grass, slopes, uneven terrain, and terrain containing obstacles. It maintained good stability, with pitch fluctuations between approximately −11.5° and +8.6°, and operated successfully on slopes of up to 17°. Most importantly, the terrain-adaptive algorithm reduced energy consumption by approximately 14.4% per obstacle crossed compared with traditional obstacle-avoidance methods.</w:t>
      </w:r>
    </w:p>
    <w:p>
      <w:pPr>
        <w:pStyle w:val="Heading1"/>
      </w:pPr>
      <w:r>
        <w:t>6.  Conclusion</w:t>
      </w:r>
    </w:p>
    <w:p>
      <w:pPr>
        <w:spacing w:after="80"/>
      </w:pPr>
      <w:r>
        <w:rPr>
          <w:b w:val="0"/>
          <w:i w:val="0"/>
          <w:sz w:val="20"/>
        </w:rPr>
        <w:t>The study demonstrates that a bionic hexapod with adaptive gait and variable clearance provides excellent terrain adaptability for agricultural applications. Its six-legged structure gives multiple support points, allowing it to remain stable over difficult terrain. The authors conclude that the robot has strong potential for precision agriculture, field scouting and autonomous agricultural operations, with future work on energy efficiency, durability and compatibility with different crops.</w:t>
      </w:r>
    </w:p>
    <w:p>
      <w:pPr>
        <w:spacing w:after="120"/>
      </w:pPr>
      <w:r>
        <w:rPr>
          <w:b/>
          <w:i w:val="0"/>
          <w:sz w:val="20"/>
        </w:rPr>
        <w:t>Key takeaway: a hexapod can use its 18-DOF leg system, sensors and adaptive gait to automatically change how it walks and how high it lifts its legs, allowing stable and energy-efficient movement through difficult agricultural terrain.</w:t>
      </w:r>
    </w:p>
    <w:p>
      <w:r>
        <w:br w:type="page"/>
      </w:r>
    </w:p>
    <w:p>
      <w:pPr>
        <w:pStyle w:val="Heading1"/>
      </w:pPr>
      <w:r>
        <w:t>7.  Comparison with Our Project</w:t>
      </w:r>
    </w:p>
    <w:p>
      <w:pPr>
        <w:spacing w:after="80"/>
      </w:pPr>
      <w:r>
        <w:rPr>
          <w:b w:val="0"/>
          <w:i w:val="0"/>
          <w:sz w:val="20"/>
        </w:rPr>
        <w:t>The paper is a useful benchmark because the machine is almost identical to ours: six legs with three degrees of freedom, the tripod gait as the starting point, kinematics presented for the leg, and simulation carried out before hardware. Every difference below is therefore a genuine engineering choice rather than a difference of scale.</w:t>
      </w:r>
    </w:p>
    <w:tbl>
      <w:tblPr>
        <w:tblStyle w:val="TableGrid"/>
        <w:tblW w:type="auto" w:w="0"/>
        <w:jc w:val="center"/>
        <w:tblLook w:firstColumn="1" w:firstRow="1" w:lastColumn="0" w:lastRow="0" w:noHBand="0" w:noVBand="1" w:val="04A0"/>
      </w:tblPr>
      <w:tblGrid>
        <w:gridCol w:w="3408"/>
        <w:gridCol w:w="3408"/>
        <w:gridCol w:w="3408"/>
      </w:tblGrid>
      <w:tr>
        <w:tc>
          <w:tcPr>
            <w:tcW w:type="dxa" w:w="1440"/>
            <w:shd w:val="clear" w:color="auto" w:fill="E8E8E8"/>
          </w:tcPr>
          <w:p>
            <w:pPr>
              <w:spacing w:after="0"/>
            </w:pPr>
            <w:r/>
            <w:r>
              <w:rPr>
                <w:b/>
                <w:sz w:val="18"/>
              </w:rPr>
            </w:r>
          </w:p>
        </w:tc>
        <w:tc>
          <w:tcPr>
            <w:tcW w:type="dxa" w:w="4392"/>
            <w:shd w:val="clear" w:color="auto" w:fill="E8E8E8"/>
          </w:tcPr>
          <w:p>
            <w:pPr>
              <w:spacing w:after="0"/>
            </w:pPr>
            <w:r/>
            <w:r>
              <w:rPr>
                <w:b/>
                <w:sz w:val="18"/>
              </w:rPr>
              <w:t>Zhang et al., 2024</w:t>
            </w:r>
          </w:p>
        </w:tc>
        <w:tc>
          <w:tcPr>
            <w:tcW w:type="dxa" w:w="4392"/>
            <w:shd w:val="clear" w:color="auto" w:fill="E8E8E8"/>
          </w:tcPr>
          <w:p>
            <w:pPr>
              <w:spacing w:after="0"/>
            </w:pPr>
            <w:r/>
            <w:r>
              <w:rPr>
                <w:b/>
                <w:sz w:val="18"/>
              </w:rPr>
              <w:t>Our project</w:t>
            </w:r>
          </w:p>
        </w:tc>
      </w:tr>
      <w:tr>
        <w:tc>
          <w:tcPr>
            <w:tcW w:type="dxa" w:w="1440"/>
          </w:tcPr>
          <w:p>
            <w:pPr>
              <w:spacing w:after="0" w:line="240" w:lineRule="auto"/>
            </w:pPr>
            <w:r/>
            <w:r>
              <w:rPr>
                <w:b/>
                <w:sz w:val="18"/>
              </w:rPr>
              <w:t>Topology</w:t>
            </w:r>
          </w:p>
        </w:tc>
        <w:tc>
          <w:tcPr>
            <w:tcW w:type="dxa" w:w="4392"/>
          </w:tcPr>
          <w:p>
            <w:pPr>
              <w:spacing w:after="0" w:line="240" w:lineRule="auto"/>
            </w:pPr>
            <w:r/>
            <w:r>
              <w:rPr>
                <w:b w:val="0"/>
                <w:sz w:val="18"/>
              </w:rPr>
              <w:t>6 legs x 3 DOF, tripod gait as base</w:t>
            </w:r>
          </w:p>
        </w:tc>
        <w:tc>
          <w:tcPr>
            <w:tcW w:type="dxa" w:w="4392"/>
          </w:tcPr>
          <w:p>
            <w:pPr>
              <w:spacing w:after="0" w:line="240" w:lineRule="auto"/>
            </w:pPr>
            <w:r/>
            <w:r>
              <w:rPr>
                <w:b w:val="0"/>
                <w:sz w:val="18"/>
              </w:rPr>
              <w:t>Same</w:t>
            </w:r>
          </w:p>
        </w:tc>
      </w:tr>
      <w:tr>
        <w:tc>
          <w:tcPr>
            <w:tcW w:type="dxa" w:w="1440"/>
          </w:tcPr>
          <w:p>
            <w:pPr>
              <w:spacing w:after="0" w:line="240" w:lineRule="auto"/>
            </w:pPr>
            <w:r/>
            <w:r>
              <w:rPr>
                <w:b/>
                <w:sz w:val="18"/>
              </w:rPr>
              <w:t>Mass</w:t>
            </w:r>
          </w:p>
        </w:tc>
        <w:tc>
          <w:tcPr>
            <w:tcW w:type="dxa" w:w="4392"/>
          </w:tcPr>
          <w:p>
            <w:pPr>
              <w:spacing w:after="0" w:line="240" w:lineRule="auto"/>
            </w:pPr>
            <w:r/>
            <w:r>
              <w:rPr>
                <w:b w:val="0"/>
                <w:sz w:val="18"/>
              </w:rPr>
              <w:t>4.7 kg with batteries, 8 kg payload</w:t>
            </w:r>
          </w:p>
        </w:tc>
        <w:tc>
          <w:tcPr>
            <w:tcW w:type="dxa" w:w="4392"/>
          </w:tcPr>
          <w:p>
            <w:pPr>
              <w:spacing w:after="0" w:line="240" w:lineRule="auto"/>
            </w:pPr>
            <w:r/>
            <w:r>
              <w:rPr>
                <w:b w:val="0"/>
                <w:sz w:val="18"/>
              </w:rPr>
              <w:t>3.39 kg</w:t>
            </w:r>
          </w:p>
        </w:tc>
      </w:tr>
      <w:tr>
        <w:tc>
          <w:tcPr>
            <w:tcW w:type="dxa" w:w="1440"/>
          </w:tcPr>
          <w:p>
            <w:pPr>
              <w:spacing w:after="0" w:line="240" w:lineRule="auto"/>
            </w:pPr>
            <w:r/>
            <w:r>
              <w:rPr>
                <w:b/>
                <w:sz w:val="18"/>
              </w:rPr>
              <w:t>Structure</w:t>
            </w:r>
          </w:p>
        </w:tc>
        <w:tc>
          <w:tcPr>
            <w:tcW w:type="dxa" w:w="4392"/>
          </w:tcPr>
          <w:p>
            <w:pPr>
              <w:spacing w:after="0" w:line="240" w:lineRule="auto"/>
            </w:pPr>
            <w:r/>
            <w:r>
              <w:rPr>
                <w:b w:val="0"/>
                <w:sz w:val="18"/>
              </w:rPr>
              <w:t>Carbon fibre and CNC aluminium</w:t>
            </w:r>
          </w:p>
        </w:tc>
        <w:tc>
          <w:tcPr>
            <w:tcW w:type="dxa" w:w="4392"/>
          </w:tcPr>
          <w:p>
            <w:pPr>
              <w:spacing w:after="0" w:line="240" w:lineRule="auto"/>
            </w:pPr>
            <w:r/>
            <w:r>
              <w:rPr>
                <w:b w:val="0"/>
                <w:sz w:val="18"/>
              </w:rPr>
              <w:t>3D printed PLA throughout</w:t>
            </w:r>
          </w:p>
        </w:tc>
      </w:tr>
      <w:tr>
        <w:tc>
          <w:tcPr>
            <w:tcW w:type="dxa" w:w="1440"/>
          </w:tcPr>
          <w:p>
            <w:pPr>
              <w:spacing w:after="0" w:line="240" w:lineRule="auto"/>
            </w:pPr>
            <w:r/>
            <w:r>
              <w:rPr>
                <w:b/>
                <w:sz w:val="18"/>
              </w:rPr>
              <w:t>Foot trajectory</w:t>
            </w:r>
          </w:p>
        </w:tc>
        <w:tc>
          <w:tcPr>
            <w:tcW w:type="dxa" w:w="4392"/>
          </w:tcPr>
          <w:p>
            <w:pPr>
              <w:spacing w:after="0" w:line="240" w:lineRule="auto"/>
            </w:pPr>
            <w:r/>
            <w:r>
              <w:rPr>
                <w:b w:val="0"/>
                <w:sz w:val="18"/>
              </w:rPr>
              <w:t>Sinusoidal joint modulation; IK avoided at run time</w:t>
            </w:r>
          </w:p>
        </w:tc>
        <w:tc>
          <w:tcPr>
            <w:tcW w:type="dxa" w:w="4392"/>
          </w:tcPr>
          <w:p>
            <w:pPr>
              <w:spacing w:after="0" w:line="240" w:lineRule="auto"/>
            </w:pPr>
            <w:r/>
            <w:r>
              <w:rPr>
                <w:b w:val="0"/>
                <w:sz w:val="18"/>
              </w:rPr>
              <w:t>Closed-form analytic IK at 50 Hz</w:t>
            </w:r>
          </w:p>
        </w:tc>
      </w:tr>
      <w:tr>
        <w:tc>
          <w:tcPr>
            <w:tcW w:type="dxa" w:w="1440"/>
          </w:tcPr>
          <w:p>
            <w:pPr>
              <w:spacing w:after="0" w:line="240" w:lineRule="auto"/>
            </w:pPr>
            <w:r/>
            <w:r>
              <w:rPr>
                <w:b/>
                <w:sz w:val="18"/>
              </w:rPr>
              <w:t>Commanding</w:t>
            </w:r>
          </w:p>
        </w:tc>
        <w:tc>
          <w:tcPr>
            <w:tcW w:type="dxa" w:w="4392"/>
          </w:tcPr>
          <w:p>
            <w:pPr>
              <w:spacing w:after="0" w:line="240" w:lineRule="auto"/>
            </w:pPr>
            <w:r/>
            <w:r>
              <w:rPr>
                <w:b w:val="0"/>
                <w:sz w:val="18"/>
              </w:rPr>
              <w:t>A gait mode is selected</w:t>
            </w:r>
          </w:p>
        </w:tc>
        <w:tc>
          <w:tcPr>
            <w:tcW w:type="dxa" w:w="4392"/>
          </w:tcPr>
          <w:p>
            <w:pPr>
              <w:spacing w:after="0" w:line="240" w:lineRule="auto"/>
            </w:pPr>
            <w:r/>
            <w:r>
              <w:rPr>
                <w:b w:val="0"/>
                <w:sz w:val="18"/>
              </w:rPr>
              <w:t>A body velocity is commanded, stride derived</w:t>
            </w:r>
          </w:p>
        </w:tc>
      </w:tr>
      <w:tr>
        <w:tc>
          <w:tcPr>
            <w:tcW w:type="dxa" w:w="1440"/>
          </w:tcPr>
          <w:p>
            <w:pPr>
              <w:spacing w:after="0" w:line="240" w:lineRule="auto"/>
            </w:pPr>
            <w:r/>
            <w:r>
              <w:rPr>
                <w:b/>
                <w:sz w:val="18"/>
              </w:rPr>
              <w:t>Clearance</w:t>
            </w:r>
          </w:p>
        </w:tc>
        <w:tc>
          <w:tcPr>
            <w:tcW w:type="dxa" w:w="4392"/>
          </w:tcPr>
          <w:p>
            <w:pPr>
              <w:spacing w:after="0" w:line="240" w:lineRule="auto"/>
            </w:pPr>
            <w:r/>
            <w:r>
              <w:rPr>
                <w:b w:val="0"/>
                <w:sz w:val="18"/>
              </w:rPr>
              <w:t>Adjustable 6 to 18 cm, terrain adaptive</w:t>
            </w:r>
          </w:p>
        </w:tc>
        <w:tc>
          <w:tcPr>
            <w:tcW w:type="dxa" w:w="4392"/>
          </w:tcPr>
          <w:p>
            <w:pPr>
              <w:spacing w:after="0" w:line="240" w:lineRule="auto"/>
            </w:pPr>
            <w:r/>
            <w:r>
              <w:rPr>
                <w:b w:val="0"/>
                <w:sz w:val="18"/>
              </w:rPr>
              <w:t>Fixed 45 mm, already a gait parameter</w:t>
            </w:r>
          </w:p>
        </w:tc>
      </w:tr>
      <w:tr>
        <w:tc>
          <w:tcPr>
            <w:tcW w:type="dxa" w:w="1440"/>
          </w:tcPr>
          <w:p>
            <w:pPr>
              <w:spacing w:after="0" w:line="240" w:lineRule="auto"/>
            </w:pPr>
            <w:r/>
            <w:r>
              <w:rPr>
                <w:b/>
                <w:sz w:val="18"/>
              </w:rPr>
              <w:t>Simulation</w:t>
            </w:r>
          </w:p>
        </w:tc>
        <w:tc>
          <w:tcPr>
            <w:tcW w:type="dxa" w:w="4392"/>
          </w:tcPr>
          <w:p>
            <w:pPr>
              <w:spacing w:after="0" w:line="240" w:lineRule="auto"/>
            </w:pPr>
            <w:r/>
            <w:r>
              <w:rPr>
                <w:b w:val="0"/>
                <w:sz w:val="18"/>
              </w:rPr>
              <w:t>SolidWorks into Simulink Simscape</w:t>
            </w:r>
          </w:p>
        </w:tc>
        <w:tc>
          <w:tcPr>
            <w:tcW w:type="dxa" w:w="4392"/>
          </w:tcPr>
          <w:p>
            <w:pPr>
              <w:spacing w:after="0" w:line="240" w:lineRule="auto"/>
            </w:pPr>
            <w:r/>
            <w:r>
              <w:rPr>
                <w:b w:val="0"/>
                <w:sz w:val="18"/>
              </w:rPr>
              <w:t>AutoCAD into URDF, Gazebo, ros2_control</w:t>
            </w:r>
          </w:p>
        </w:tc>
      </w:tr>
      <w:tr>
        <w:tc>
          <w:tcPr>
            <w:tcW w:type="dxa" w:w="1440"/>
          </w:tcPr>
          <w:p>
            <w:pPr>
              <w:spacing w:after="0" w:line="240" w:lineRule="auto"/>
            </w:pPr>
            <w:r/>
            <w:r>
              <w:rPr>
                <w:b/>
                <w:sz w:val="18"/>
              </w:rPr>
              <w:t>Sensing</w:t>
            </w:r>
          </w:p>
        </w:tc>
        <w:tc>
          <w:tcPr>
            <w:tcW w:type="dxa" w:w="4392"/>
          </w:tcPr>
          <w:p>
            <w:pPr>
              <w:spacing w:after="0" w:line="240" w:lineRule="auto"/>
            </w:pPr>
            <w:r/>
            <w:r>
              <w:rPr>
                <w:b w:val="0"/>
                <w:sz w:val="18"/>
              </w:rPr>
              <w:t>IMU and one force sensor per foot</w:t>
            </w:r>
          </w:p>
        </w:tc>
        <w:tc>
          <w:tcPr>
            <w:tcW w:type="dxa" w:w="4392"/>
          </w:tcPr>
          <w:p>
            <w:pPr>
              <w:spacing w:after="0" w:line="240" w:lineRule="auto"/>
            </w:pPr>
            <w:r/>
            <w:r>
              <w:rPr>
                <w:b w:val="0"/>
                <w:sz w:val="18"/>
              </w:rPr>
              <w:t>Foot sensors modelled, currently disabled</w:t>
            </w:r>
          </w:p>
        </w:tc>
      </w:tr>
      <w:tr>
        <w:tc>
          <w:tcPr>
            <w:tcW w:type="dxa" w:w="1440"/>
          </w:tcPr>
          <w:p>
            <w:pPr>
              <w:spacing w:after="0" w:line="240" w:lineRule="auto"/>
            </w:pPr>
            <w:r/>
            <w:r>
              <w:rPr>
                <w:b/>
                <w:sz w:val="18"/>
              </w:rPr>
              <w:t>Validation</w:t>
            </w:r>
          </w:p>
        </w:tc>
        <w:tc>
          <w:tcPr>
            <w:tcW w:type="dxa" w:w="4392"/>
          </w:tcPr>
          <w:p>
            <w:pPr>
              <w:spacing w:after="0" w:line="240" w:lineRule="auto"/>
            </w:pPr>
            <w:r/>
            <w:r>
              <w:rPr>
                <w:b w:val="0"/>
                <w:sz w:val="18"/>
              </w:rPr>
              <w:t>Field trials on four terrain types</w:t>
            </w:r>
          </w:p>
        </w:tc>
        <w:tc>
          <w:tcPr>
            <w:tcW w:type="dxa" w:w="4392"/>
          </w:tcPr>
          <w:p>
            <w:pPr>
              <w:spacing w:after="0" w:line="240" w:lineRule="auto"/>
            </w:pPr>
            <w:r/>
            <w:r>
              <w:rPr>
                <w:b w:val="0"/>
                <w:sz w:val="18"/>
              </w:rPr>
              <w:t>498 offline assertions, IK exact to 3.5e-16 m</w:t>
            </w:r>
          </w:p>
        </w:tc>
      </w:tr>
      <w:tr>
        <w:tc>
          <w:tcPr>
            <w:tcW w:type="dxa" w:w="1440"/>
          </w:tcPr>
          <w:p>
            <w:pPr>
              <w:spacing w:after="0" w:line="240" w:lineRule="auto"/>
            </w:pPr>
            <w:r/>
            <w:r>
              <w:rPr>
                <w:b/>
                <w:sz w:val="18"/>
              </w:rPr>
              <w:t>Stage</w:t>
            </w:r>
          </w:p>
        </w:tc>
        <w:tc>
          <w:tcPr>
            <w:tcW w:type="dxa" w:w="4392"/>
          </w:tcPr>
          <w:p>
            <w:pPr>
              <w:spacing w:after="0" w:line="240" w:lineRule="auto"/>
            </w:pPr>
            <w:r/>
            <w:r>
              <w:rPr>
                <w:b w:val="0"/>
                <w:sz w:val="18"/>
              </w:rPr>
              <w:t>Hardware built and field tested</w:t>
            </w:r>
          </w:p>
        </w:tc>
        <w:tc>
          <w:tcPr>
            <w:tcW w:type="dxa" w:w="4392"/>
          </w:tcPr>
          <w:p>
            <w:pPr>
              <w:spacing w:after="0" w:line="240" w:lineRule="auto"/>
            </w:pPr>
            <w:r/>
            <w:r>
              <w:rPr>
                <w:b w:val="0"/>
                <w:sz w:val="18"/>
              </w:rPr>
              <w:t>Simulation complete, hardware next</w:t>
            </w:r>
          </w:p>
        </w:tc>
      </w:tr>
    </w:tbl>
    <w:p>
      <w:pPr>
        <w:spacing w:after="60"/>
      </w:pPr>
    </w:p>
    <w:p>
      <w:pPr>
        <w:pStyle w:val="Heading2"/>
      </w:pPr>
      <w:r>
        <w:t>The main difference in approach</w:t>
      </w:r>
    </w:p>
    <w:p>
      <w:pPr>
        <w:spacing w:after="80"/>
      </w:pPr>
      <w:r>
        <w:rPr>
          <w:b w:val="0"/>
          <w:i w:val="0"/>
          <w:sz w:val="20"/>
        </w:rPr>
        <w:t>The paper deliberately avoids inverse kinematics at run time, arguing that solving it at each step is computationally expensive, and drives the joints with sinusoidal modulation instead. That objection applies to numerical inverse kinematics, which iterates. Ours is closed form: a fixed number of trigonometric evaluations, no iteration, and the same cost on every call. It is inexpensive, and it buys what the sinusoidal method cannot offer. With sinusoidal modulation the operator selects a gait mode; with analytic inverse kinematics the operator commands a body velocity and the stride for every leg follows from geometry, which is why walking, strafing, turning and driving an arc are one piece of code. In short, their design trades commandability for computation and ours trades computation for commandability; a closed-form solution is what makes that trade affordable. Both are valid: theirs suits a battery-limited scouting robot where cost of transport is the headline metric.</w:t>
      </w:r>
    </w:p>
    <w:p>
      <w:pPr>
        <w:pStyle w:val="Heading2"/>
      </w:pPr>
      <w:r>
        <w:t>Validation, and where we sit</w:t>
      </w:r>
    </w:p>
    <w:p>
      <w:pPr>
        <w:spacing w:after="80"/>
      </w:pPr>
      <w:r>
        <w:rPr>
          <w:b w:val="0"/>
          <w:i w:val="0"/>
          <w:sz w:val="20"/>
        </w:rPr>
        <w:t>They validate empirically through field trials, which requires built hardware; we validate formally offline through automated assertions. The approaches are complementary, and ours caught a stance sign error that field testing would probably have dismissed as a robot needing tuning. They have a built robot with completed trials, while we have a complete simulation with verified mathematics and hardware as the next phase. Their sensing package is essentially our next-phase list, and their adjustable clearance is a natural extension of our formulation, since our step height is already a parameter of the swing equation.</w:t>
      </w:r>
    </w:p>
    <w:sectPr w:rsidR="00FC693F" w:rsidRPr="0006063C" w:rsidSect="00034616">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Cambria" w:hAnsi="Cambria"/>
      <w:b/>
      <w:bCs/>
      <w:color w:val="1F1F1F"/>
      <w:sz w:val="24"/>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Theme="majorHAnsi" w:eastAsiaTheme="majorEastAsia" w:hAnsiTheme="majorHAnsi" w:cstheme="majorBidi" w:ascii="Cambria" w:hAnsi="Cambria"/>
      <w:b/>
      <w:bCs/>
      <w:color w:val="1F1F1F"/>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