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BA99B">
      <w:pPr>
        <w:pStyle w:val="36"/>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GUAVA LEAF &amp; FRUIT DISEASE DETECTION SYSTEM</w:t>
      </w:r>
    </w:p>
    <w:p w14:paraId="66352744">
      <w:pPr>
        <w:jc w:val="center"/>
        <w:rPr>
          <w:rFonts w:hint="default" w:ascii="Times New Roman" w:hAnsi="Times New Roman" w:cs="Times New Roman"/>
          <w:sz w:val="32"/>
          <w:szCs w:val="32"/>
        </w:rPr>
      </w:pPr>
      <w:r>
        <w:rPr>
          <w:rFonts w:hint="default" w:ascii="Times New Roman" w:hAnsi="Times New Roman" w:cs="Times New Roman"/>
          <w:b/>
          <w:sz w:val="32"/>
          <w:szCs w:val="32"/>
        </w:rPr>
        <w:t>Real System Architecture and End-to-End Technical Flow</w:t>
      </w:r>
      <w:r>
        <w:rPr>
          <w:rFonts w:hint="default" w:ascii="Times New Roman" w:hAnsi="Times New Roman" w:cs="Times New Roman"/>
          <w:b/>
          <w:sz w:val="32"/>
          <w:szCs w:val="32"/>
        </w:rPr>
        <w:br w:type="textWrapping"/>
      </w:r>
      <w:r>
        <w:rPr>
          <w:rFonts w:hint="default" w:ascii="Times New Roman" w:hAnsi="Times New Roman" w:cs="Times New Roman"/>
          <w:b/>
          <w:sz w:val="32"/>
          <w:szCs w:val="32"/>
        </w:rPr>
        <w:t>PyTorch + EfficientNet-B3 / ResNet-50 + Streamlit + Grad-CAM</w:t>
      </w:r>
    </w:p>
    <w:p w14:paraId="3ED7B3B2">
      <w:pPr>
        <w:jc w:val="both"/>
        <w:rPr>
          <w:sz w:val="25"/>
          <w:szCs w:val="25"/>
        </w:rPr>
      </w:pPr>
      <w:r>
        <w:rPr>
          <w:sz w:val="25"/>
          <w:szCs w:val="25"/>
        </w:rPr>
        <w:t>This document describes the comprehensive system architecture for both Guava Leaf and Guava Fruit disease detection applications. It outlines the project structure, user interface, model loading, preprocessing, prediction, confidence calculation, and Grad-CAM explainability paths.</w:t>
      </w:r>
    </w:p>
    <w:p w14:paraId="2DDFF661">
      <w:pPr>
        <w:pStyle w:val="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System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684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25AC1E4">
            <w:pPr>
              <w:spacing w:after="0" w:line="240" w:lineRule="auto"/>
            </w:pPr>
            <w:r>
              <w:rPr>
                <w:b/>
              </w:rPr>
              <w:t>Technology / Component</w:t>
            </w:r>
          </w:p>
        </w:tc>
        <w:tc>
          <w:tcPr>
            <w:tcW w:w="4320" w:type="dxa"/>
          </w:tcPr>
          <w:p w14:paraId="46FA3097">
            <w:pPr>
              <w:spacing w:after="0" w:line="240" w:lineRule="auto"/>
            </w:pPr>
            <w:r>
              <w:rPr>
                <w:b/>
              </w:rPr>
              <w:t>Details</w:t>
            </w:r>
          </w:p>
        </w:tc>
      </w:tr>
      <w:tr w14:paraId="0F52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27A21DCA">
            <w:pPr>
              <w:spacing w:after="0" w:line="240" w:lineRule="auto"/>
            </w:pPr>
            <w:r>
              <w:t>User Interface</w:t>
            </w:r>
          </w:p>
        </w:tc>
        <w:tc>
          <w:tcPr>
            <w:tcW w:w="4320" w:type="dxa"/>
          </w:tcPr>
          <w:p w14:paraId="440B886F">
            <w:pPr>
              <w:spacing w:after="0" w:line="240" w:lineRule="auto"/>
            </w:pPr>
            <w:r>
              <w:t>Streamlit</w:t>
            </w:r>
          </w:p>
        </w:tc>
      </w:tr>
      <w:tr w14:paraId="3F42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5CFDF279">
            <w:pPr>
              <w:spacing w:after="0" w:line="240" w:lineRule="auto"/>
            </w:pPr>
            <w:r>
              <w:t>Image Handling</w:t>
            </w:r>
          </w:p>
        </w:tc>
        <w:tc>
          <w:tcPr>
            <w:tcW w:w="4320" w:type="dxa"/>
          </w:tcPr>
          <w:p w14:paraId="07943D9D">
            <w:pPr>
              <w:spacing w:after="0" w:line="240" w:lineRule="auto"/>
            </w:pPr>
            <w:r>
              <w:t>PIL, NumPy, OpenCV</w:t>
            </w:r>
          </w:p>
        </w:tc>
      </w:tr>
      <w:tr w14:paraId="5D2A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2999AD4A">
            <w:pPr>
              <w:spacing w:after="0" w:line="240" w:lineRule="auto"/>
            </w:pPr>
            <w:r>
              <w:t>Deep Learning</w:t>
            </w:r>
          </w:p>
        </w:tc>
        <w:tc>
          <w:tcPr>
            <w:tcW w:w="4320" w:type="dxa"/>
          </w:tcPr>
          <w:p w14:paraId="13119DA0">
            <w:pPr>
              <w:spacing w:after="0" w:line="240" w:lineRule="auto"/>
            </w:pPr>
            <w:r>
              <w:t>PyTorch + torchvision</w:t>
            </w:r>
          </w:p>
        </w:tc>
      </w:tr>
      <w:tr w14:paraId="0694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3069D540">
            <w:pPr>
              <w:spacing w:after="0" w:line="240" w:lineRule="auto"/>
            </w:pPr>
            <w:r>
              <w:t>Models</w:t>
            </w:r>
          </w:p>
        </w:tc>
        <w:tc>
          <w:tcPr>
            <w:tcW w:w="4320" w:type="dxa"/>
          </w:tcPr>
          <w:p w14:paraId="3C72F142">
            <w:pPr>
              <w:spacing w:after="0" w:line="240" w:lineRule="auto"/>
            </w:pPr>
            <w:r>
              <w:t>EfficientNet-B3 and ResNet-50</w:t>
            </w:r>
          </w:p>
        </w:tc>
      </w:tr>
      <w:tr w14:paraId="428F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CC658AA">
            <w:pPr>
              <w:spacing w:after="0" w:line="240" w:lineRule="auto"/>
            </w:pPr>
            <w:r>
              <w:t>Explainable AI</w:t>
            </w:r>
          </w:p>
        </w:tc>
        <w:tc>
          <w:tcPr>
            <w:tcW w:w="4320" w:type="dxa"/>
          </w:tcPr>
          <w:p w14:paraId="31CEFFE1">
            <w:pPr>
              <w:spacing w:after="0" w:line="240" w:lineRule="auto"/>
            </w:pPr>
            <w:r>
              <w:t>Grad-CAM</w:t>
            </w:r>
          </w:p>
        </w:tc>
      </w:tr>
      <w:tr w14:paraId="0934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06398062">
            <w:pPr>
              <w:spacing w:after="0" w:line="240" w:lineRule="auto"/>
            </w:pPr>
            <w:r>
              <w:t>Input Size</w:t>
            </w:r>
          </w:p>
        </w:tc>
        <w:tc>
          <w:tcPr>
            <w:tcW w:w="4320" w:type="dxa"/>
          </w:tcPr>
          <w:p w14:paraId="04313C9C">
            <w:pPr>
              <w:spacing w:after="0" w:line="240" w:lineRule="auto"/>
            </w:pPr>
            <w:r>
              <w:t>224 × 224</w:t>
            </w:r>
          </w:p>
        </w:tc>
      </w:tr>
      <w:tr w14:paraId="5704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742F112F">
            <w:pPr>
              <w:spacing w:after="0" w:line="240" w:lineRule="auto"/>
            </w:pPr>
            <w:r>
              <w:t>Supported Input</w:t>
            </w:r>
          </w:p>
        </w:tc>
        <w:tc>
          <w:tcPr>
            <w:tcW w:w="4320" w:type="dxa"/>
          </w:tcPr>
          <w:p w14:paraId="747D0EA8">
            <w:pPr>
              <w:spacing w:after="0" w:line="240" w:lineRule="auto"/>
            </w:pPr>
            <w:r>
              <w:t>JPG, JPEG, PNG</w:t>
            </w:r>
          </w:p>
        </w:tc>
      </w:tr>
      <w:tr w14:paraId="3E70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93D10AE">
            <w:pPr>
              <w:spacing w:after="0" w:line="240" w:lineRule="auto"/>
            </w:pPr>
            <w:r>
              <w:t>Execution Device</w:t>
            </w:r>
          </w:p>
        </w:tc>
        <w:tc>
          <w:tcPr>
            <w:tcW w:w="4320" w:type="dxa"/>
          </w:tcPr>
          <w:p w14:paraId="3FB77B60">
            <w:pPr>
              <w:spacing w:after="0" w:line="240" w:lineRule="auto"/>
            </w:pPr>
            <w:r>
              <w:t>CUDA GPU when available; otherwise CPU</w:t>
            </w:r>
          </w:p>
        </w:tc>
      </w:tr>
    </w:tbl>
    <w:p w14:paraId="00E15C77"/>
    <w:p w14:paraId="2C77771B">
      <w:pPr>
        <w:pStyle w:val="2"/>
        <w:ind w:firstLine="1827" w:firstLineChars="650"/>
        <w:rPr>
          <w:color w:val="000000" w:themeColor="text1"/>
          <w14:textFill>
            <w14:solidFill>
              <w14:schemeClr w14:val="tx1"/>
            </w14:solidFill>
          </w14:textFill>
        </w:rPr>
      </w:pPr>
      <w:r>
        <w:rPr>
          <w:color w:val="000000" w:themeColor="text1"/>
          <w14:textFill>
            <w14:solidFill>
              <w14:schemeClr w14:val="tx1"/>
            </w14:solidFill>
          </w14:textFill>
        </w:rPr>
        <w:t>1. System Architecture Overview</w:t>
      </w:r>
    </w:p>
    <w:p w14:paraId="140A5370">
      <w:pPr>
        <w:jc w:val="both"/>
      </w:pPr>
      <w:r>
        <w:t>System architecture is the high-level structure of the complete software system. It explains which major components exist, what each component does, how components communicate, and how data moves from the user's input to the final output.</w:t>
      </w:r>
    </w:p>
    <w:p w14:paraId="5695C4DC">
      <w:pPr>
        <w:pStyle w:val="2"/>
        <w:ind w:firstLine="1124" w:firstLineChars="4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PART I: GUAVA LEAF DISEASE DETECTION</w:t>
      </w:r>
    </w:p>
    <w:p w14:paraId="64E8C302">
      <w:pPr>
        <w:jc w:val="center"/>
      </w:pPr>
      <w:r>
        <w:drawing>
          <wp:inline distT="0" distB="0" distL="114300" distR="114300">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486400"/>
                    </a:xfrm>
                    <a:prstGeom prst="rect">
                      <a:avLst/>
                    </a:prstGeom>
                  </pic:spPr>
                </pic:pic>
              </a:graphicData>
            </a:graphic>
          </wp:inline>
        </w:drawing>
      </w:r>
    </w:p>
    <w:p w14:paraId="6B5F9505">
      <w:pPr>
        <w:jc w:val="center"/>
        <w:rPr>
          <w:b/>
          <w:b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i/>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1. Complete architecture of the Guava Leaf Disease Detection System</w:t>
      </w:r>
    </w:p>
    <w:p w14:paraId="0D9DE09C">
      <w:pPr>
        <w:pStyle w:val="3"/>
        <w:rPr>
          <w:b/>
          <w:b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Leaf Disease Classes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8E9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740BC6B0">
            <w:pPr>
              <w:spacing w:after="0" w:line="240" w:lineRule="auto"/>
            </w:pPr>
            <w:r>
              <w:rPr>
                <w:b/>
              </w:rPr>
              <w:t>Class</w:t>
            </w:r>
          </w:p>
        </w:tc>
        <w:tc>
          <w:tcPr>
            <w:tcW w:w="4320" w:type="dxa"/>
          </w:tcPr>
          <w:p w14:paraId="0ACE7B3F">
            <w:pPr>
              <w:spacing w:after="0" w:line="240" w:lineRule="auto"/>
            </w:pPr>
            <w:r>
              <w:rPr>
                <w:b/>
              </w:rPr>
              <w:t>Meaning in classifier</w:t>
            </w:r>
          </w:p>
        </w:tc>
      </w:tr>
      <w:tr w14:paraId="11B9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51EA7E68">
            <w:pPr>
              <w:spacing w:after="0" w:line="240" w:lineRule="auto"/>
            </w:pPr>
            <w:r>
              <w:t>canker</w:t>
            </w:r>
          </w:p>
        </w:tc>
        <w:tc>
          <w:tcPr>
            <w:tcW w:w="4320" w:type="dxa"/>
          </w:tcPr>
          <w:p w14:paraId="68AF4CCC">
            <w:pPr>
              <w:spacing w:after="0" w:line="240" w:lineRule="auto"/>
            </w:pPr>
            <w:r>
              <w:t>Guava leaf disease class</w:t>
            </w:r>
          </w:p>
        </w:tc>
      </w:tr>
      <w:tr w14:paraId="4494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5461A2B">
            <w:pPr>
              <w:spacing w:after="0" w:line="240" w:lineRule="auto"/>
            </w:pPr>
            <w:r>
              <w:t>dot</w:t>
            </w:r>
          </w:p>
        </w:tc>
        <w:tc>
          <w:tcPr>
            <w:tcW w:w="4320" w:type="dxa"/>
          </w:tcPr>
          <w:p w14:paraId="52464ECD">
            <w:pPr>
              <w:spacing w:after="0" w:line="240" w:lineRule="auto"/>
            </w:pPr>
            <w:r>
              <w:t>Guava leaf disease class</w:t>
            </w:r>
          </w:p>
        </w:tc>
      </w:tr>
      <w:tr w14:paraId="009C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237349DE">
            <w:pPr>
              <w:spacing w:after="0" w:line="240" w:lineRule="auto"/>
            </w:pPr>
            <w:r>
              <w:t>healthy</w:t>
            </w:r>
          </w:p>
        </w:tc>
        <w:tc>
          <w:tcPr>
            <w:tcW w:w="4320" w:type="dxa"/>
          </w:tcPr>
          <w:p w14:paraId="697CE852">
            <w:pPr>
              <w:spacing w:after="0" w:line="240" w:lineRule="auto"/>
            </w:pPr>
            <w:r>
              <w:t>Healthy leaf reference class</w:t>
            </w:r>
          </w:p>
        </w:tc>
      </w:tr>
      <w:tr w14:paraId="3A06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AE57EB4">
            <w:pPr>
              <w:spacing w:after="0" w:line="240" w:lineRule="auto"/>
            </w:pPr>
            <w:r>
              <w:t>mummification</w:t>
            </w:r>
          </w:p>
        </w:tc>
        <w:tc>
          <w:tcPr>
            <w:tcW w:w="4320" w:type="dxa"/>
          </w:tcPr>
          <w:p w14:paraId="6345D99F">
            <w:pPr>
              <w:spacing w:after="0" w:line="240" w:lineRule="auto"/>
            </w:pPr>
            <w:r>
              <w:t>Guava leaf disease class</w:t>
            </w:r>
          </w:p>
        </w:tc>
      </w:tr>
      <w:tr w14:paraId="3F78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0A566FE1">
            <w:pPr>
              <w:spacing w:after="0" w:line="240" w:lineRule="auto"/>
            </w:pPr>
            <w:r>
              <w:t>rust</w:t>
            </w:r>
          </w:p>
        </w:tc>
        <w:tc>
          <w:tcPr>
            <w:tcW w:w="4320" w:type="dxa"/>
          </w:tcPr>
          <w:p w14:paraId="7586ED48">
            <w:pPr>
              <w:spacing w:after="0" w:line="240" w:lineRule="auto"/>
            </w:pPr>
            <w:r>
              <w:t>Guava leaf disease class</w:t>
            </w:r>
          </w:p>
        </w:tc>
      </w:tr>
    </w:tbl>
    <w:p w14:paraId="5ECC75AB"/>
    <w:p w14:paraId="5D5943CC">
      <w:pPr>
        <w:pStyle w:val="2"/>
        <w:ind w:firstLine="703" w:firstLineChars="25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PART II: GUAVA FRUIT DISEASE DETECTION</w:t>
      </w:r>
    </w:p>
    <w:p w14:paraId="4B97359B">
      <w:pPr>
        <w:rPr>
          <w:rFonts w:hint="default"/>
        </w:rPr>
      </w:pPr>
    </w:p>
    <w:p w14:paraId="32714EED">
      <w:pPr>
        <w:jc w:val="center"/>
      </w:pPr>
      <w:r>
        <w:drawing>
          <wp:inline distT="0" distB="0" distL="114300" distR="114300">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5486400"/>
                    </a:xfrm>
                    <a:prstGeom prst="rect">
                      <a:avLst/>
                    </a:prstGeom>
                  </pic:spPr>
                </pic:pic>
              </a:graphicData>
            </a:graphic>
          </wp:inline>
        </w:drawing>
      </w:r>
    </w:p>
    <w:p w14:paraId="4CEFDAAD">
      <w:pPr>
        <w:jc w:val="center"/>
      </w:pPr>
      <w:r>
        <w:rPr>
          <w:i/>
        </w:rPr>
        <w:t>Figure 2. Complete architecture of the Guava Fruit Disease Detection System</w:t>
      </w:r>
    </w:p>
    <w:p w14:paraId="2685E43F">
      <w:pPr>
        <w:pStyle w:val="2"/>
        <w:rPr>
          <w:rFonts w:hint="default" w:ascii="Times New Roman" w:hAnsi="Times New Roman" w:cs="Times New Roman"/>
          <w:color w:val="000000" w:themeColor="text1"/>
          <w14:textFill>
            <w14:solidFill>
              <w14:schemeClr w14:val="tx1"/>
            </w14:solidFill>
          </w14:textFill>
        </w:rPr>
      </w:pPr>
    </w:p>
    <w:p w14:paraId="0FCDC71B">
      <w:pPr>
        <w:pStyle w:val="2"/>
        <w:rPr>
          <w:rFonts w:hint="default" w:ascii="Times New Roman" w:hAnsi="Times New Roman" w:cs="Times New Roman"/>
          <w:color w:val="000000" w:themeColor="text1"/>
          <w14:textFill>
            <w14:solidFill>
              <w14:schemeClr w14:val="tx1"/>
            </w14:solidFill>
          </w14:textFill>
        </w:rPr>
      </w:pPr>
    </w:p>
    <w:p w14:paraId="32CDA98F">
      <w:pPr>
        <w:pStyle w:val="2"/>
        <w:rPr>
          <w:rFonts w:hint="default" w:ascii="Times New Roman" w:hAnsi="Times New Roman" w:cs="Times New Roman"/>
          <w:color w:val="000000" w:themeColor="text1"/>
          <w14:textFill>
            <w14:solidFill>
              <w14:schemeClr w14:val="tx1"/>
            </w14:solidFill>
          </w14:textFill>
        </w:rPr>
      </w:pPr>
    </w:p>
    <w:p w14:paraId="72916919">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CORE ARCHITECTURAL LAYERS &amp; PIPELINE (Leaf &amp; Fruit)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61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3003BE07">
            <w:pPr>
              <w:spacing w:after="0" w:line="240" w:lineRule="auto"/>
            </w:pPr>
            <w:r>
              <w:rPr>
                <w:b/>
              </w:rPr>
              <w:t>Layer</w:t>
            </w:r>
          </w:p>
        </w:tc>
        <w:tc>
          <w:tcPr>
            <w:tcW w:w="2880" w:type="dxa"/>
          </w:tcPr>
          <w:p w14:paraId="6F8B1EFA">
            <w:pPr>
              <w:spacing w:after="0" w:line="240" w:lineRule="auto"/>
            </w:pPr>
            <w:r>
              <w:rPr>
                <w:b/>
              </w:rPr>
              <w:t>Component</w:t>
            </w:r>
          </w:p>
        </w:tc>
        <w:tc>
          <w:tcPr>
            <w:tcW w:w="2880" w:type="dxa"/>
          </w:tcPr>
          <w:p w14:paraId="0DBB7B8A">
            <w:pPr>
              <w:spacing w:after="0" w:line="240" w:lineRule="auto"/>
            </w:pPr>
            <w:r>
              <w:rPr>
                <w:b/>
              </w:rPr>
              <w:t>Main Responsibility</w:t>
            </w:r>
          </w:p>
        </w:tc>
      </w:tr>
      <w:tr w14:paraId="50D2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A1893E">
            <w:pPr>
              <w:spacing w:after="0" w:line="240" w:lineRule="auto"/>
            </w:pPr>
            <w:r>
              <w:t>1</w:t>
            </w:r>
          </w:p>
        </w:tc>
        <w:tc>
          <w:tcPr>
            <w:tcW w:w="2880" w:type="dxa"/>
          </w:tcPr>
          <w:p w14:paraId="5494D8AD">
            <w:pPr>
              <w:spacing w:after="0" w:line="240" w:lineRule="auto"/>
            </w:pPr>
            <w:r>
              <w:t>Dataset Layer</w:t>
            </w:r>
          </w:p>
        </w:tc>
        <w:tc>
          <w:tcPr>
            <w:tcW w:w="2880" w:type="dxa"/>
          </w:tcPr>
          <w:p w14:paraId="4E43BC89">
            <w:pPr>
              <w:spacing w:after="0" w:line="240" w:lineRule="auto"/>
            </w:pPr>
            <w:r>
              <w:t>Stores images organized by disease/healthy class.</w:t>
            </w:r>
          </w:p>
        </w:tc>
      </w:tr>
      <w:tr w14:paraId="3A15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EEAFD7">
            <w:pPr>
              <w:spacing w:after="0" w:line="240" w:lineRule="auto"/>
            </w:pPr>
            <w:r>
              <w:t>2</w:t>
            </w:r>
          </w:p>
        </w:tc>
        <w:tc>
          <w:tcPr>
            <w:tcW w:w="2880" w:type="dxa"/>
          </w:tcPr>
          <w:p w14:paraId="42A30BE9">
            <w:pPr>
              <w:spacing w:after="0" w:line="240" w:lineRule="auto"/>
            </w:pPr>
            <w:r>
              <w:t>Data Preparation Layer</w:t>
            </w:r>
          </w:p>
        </w:tc>
        <w:tc>
          <w:tcPr>
            <w:tcW w:w="2880" w:type="dxa"/>
          </w:tcPr>
          <w:p w14:paraId="0C02589F">
            <w:pPr>
              <w:spacing w:after="0" w:line="240" w:lineRule="auto"/>
            </w:pPr>
            <w:r>
              <w:t>Merges, normalizes, splits, preprocesses, and augments images.</w:t>
            </w:r>
          </w:p>
        </w:tc>
      </w:tr>
      <w:tr w14:paraId="4E45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3C4024">
            <w:pPr>
              <w:spacing w:after="0" w:line="240" w:lineRule="auto"/>
            </w:pPr>
            <w:r>
              <w:t>3</w:t>
            </w:r>
          </w:p>
        </w:tc>
        <w:tc>
          <w:tcPr>
            <w:tcW w:w="2880" w:type="dxa"/>
          </w:tcPr>
          <w:p w14:paraId="2AD02619">
            <w:pPr>
              <w:spacing w:after="0" w:line="240" w:lineRule="auto"/>
            </w:pPr>
            <w:r>
              <w:t>Model Layer</w:t>
            </w:r>
          </w:p>
        </w:tc>
        <w:tc>
          <w:tcPr>
            <w:tcW w:w="2880" w:type="dxa"/>
          </w:tcPr>
          <w:p w14:paraId="1FF4547C">
            <w:pPr>
              <w:spacing w:after="0" w:line="240" w:lineRule="auto"/>
            </w:pPr>
            <w:r>
              <w:t>Provides EfficientNet-B3 and ResNet-50 classification models.</w:t>
            </w:r>
          </w:p>
        </w:tc>
      </w:tr>
      <w:tr w14:paraId="3956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38F8BE">
            <w:pPr>
              <w:spacing w:after="0" w:line="240" w:lineRule="auto"/>
            </w:pPr>
            <w:r>
              <w:t>4</w:t>
            </w:r>
          </w:p>
        </w:tc>
        <w:tc>
          <w:tcPr>
            <w:tcW w:w="2880" w:type="dxa"/>
          </w:tcPr>
          <w:p w14:paraId="53C7E618">
            <w:pPr>
              <w:spacing w:after="0" w:line="240" w:lineRule="auto"/>
            </w:pPr>
            <w:r>
              <w:t>Training Layer</w:t>
            </w:r>
          </w:p>
        </w:tc>
        <w:tc>
          <w:tcPr>
            <w:tcW w:w="2880" w:type="dxa"/>
          </w:tcPr>
          <w:p w14:paraId="0D3A48FA">
            <w:pPr>
              <w:spacing w:after="0" w:line="240" w:lineRule="auto"/>
            </w:pPr>
            <w:r>
              <w:t>Trains models and saves best validation checkpoints.</w:t>
            </w:r>
          </w:p>
        </w:tc>
      </w:tr>
      <w:tr w14:paraId="7F6C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37E699">
            <w:pPr>
              <w:spacing w:after="0" w:line="240" w:lineRule="auto"/>
            </w:pPr>
            <w:r>
              <w:t>5</w:t>
            </w:r>
          </w:p>
        </w:tc>
        <w:tc>
          <w:tcPr>
            <w:tcW w:w="2880" w:type="dxa"/>
          </w:tcPr>
          <w:p w14:paraId="15524B0D">
            <w:pPr>
              <w:spacing w:after="0" w:line="240" w:lineRule="auto"/>
            </w:pPr>
            <w:r>
              <w:t>Model Storage Layer</w:t>
            </w:r>
          </w:p>
        </w:tc>
        <w:tc>
          <w:tcPr>
            <w:tcW w:w="2880" w:type="dxa"/>
          </w:tcPr>
          <w:p w14:paraId="56BFC977">
            <w:pPr>
              <w:spacing w:after="0" w:line="240" w:lineRule="auto"/>
            </w:pPr>
            <w:r>
              <w:t>Stores trained .pt model artifacts.</w:t>
            </w:r>
          </w:p>
        </w:tc>
      </w:tr>
      <w:tr w14:paraId="3B7A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97CDE5">
            <w:pPr>
              <w:spacing w:after="0" w:line="240" w:lineRule="auto"/>
            </w:pPr>
            <w:r>
              <w:t>6</w:t>
            </w:r>
          </w:p>
        </w:tc>
        <w:tc>
          <w:tcPr>
            <w:tcW w:w="2880" w:type="dxa"/>
          </w:tcPr>
          <w:p w14:paraId="11843AA2">
            <w:pPr>
              <w:spacing w:after="0" w:line="240" w:lineRule="auto"/>
            </w:pPr>
            <w:r>
              <w:t>Streamlit Presentation Layer</w:t>
            </w:r>
          </w:p>
        </w:tc>
        <w:tc>
          <w:tcPr>
            <w:tcW w:w="2880" w:type="dxa"/>
          </w:tcPr>
          <w:p w14:paraId="55F0D461">
            <w:pPr>
              <w:spacing w:after="0" w:line="240" w:lineRule="auto"/>
            </w:pPr>
            <w:r>
              <w:t>Provides upload, configuration, and result interface.</w:t>
            </w:r>
          </w:p>
        </w:tc>
      </w:tr>
      <w:tr w14:paraId="4EC5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9460DD">
            <w:pPr>
              <w:spacing w:after="0" w:line="240" w:lineRule="auto"/>
            </w:pPr>
            <w:r>
              <w:t>7</w:t>
            </w:r>
          </w:p>
        </w:tc>
        <w:tc>
          <w:tcPr>
            <w:tcW w:w="2880" w:type="dxa"/>
          </w:tcPr>
          <w:p w14:paraId="043C1E4F">
            <w:pPr>
              <w:spacing w:after="0" w:line="240" w:lineRule="auto"/>
            </w:pPr>
            <w:r>
              <w:t>Inference Layer</w:t>
            </w:r>
          </w:p>
        </w:tc>
        <w:tc>
          <w:tcPr>
            <w:tcW w:w="2880" w:type="dxa"/>
          </w:tcPr>
          <w:p w14:paraId="1F809815">
            <w:pPr>
              <w:spacing w:after="0" w:line="240" w:lineRule="auto"/>
            </w:pPr>
            <w:r>
              <w:t>Preprocesses uploaded image and produces class probabilities.</w:t>
            </w:r>
          </w:p>
        </w:tc>
      </w:tr>
      <w:tr w14:paraId="7F79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8A5FAF">
            <w:pPr>
              <w:spacing w:after="0" w:line="240" w:lineRule="auto"/>
            </w:pPr>
            <w:r>
              <w:t>8</w:t>
            </w:r>
          </w:p>
        </w:tc>
        <w:tc>
          <w:tcPr>
            <w:tcW w:w="2880" w:type="dxa"/>
          </w:tcPr>
          <w:p w14:paraId="34D70643">
            <w:pPr>
              <w:spacing w:after="0" w:line="240" w:lineRule="auto"/>
            </w:pPr>
            <w:r>
              <w:t>Explainability Layer</w:t>
            </w:r>
          </w:p>
        </w:tc>
        <w:tc>
          <w:tcPr>
            <w:tcW w:w="2880" w:type="dxa"/>
          </w:tcPr>
          <w:p w14:paraId="04BADBCF">
            <w:pPr>
              <w:spacing w:after="0" w:line="240" w:lineRule="auto"/>
            </w:pPr>
            <w:r>
              <w:t>Uses Grad-CAM to visualize image regions influencing prediction.</w:t>
            </w:r>
          </w:p>
        </w:tc>
      </w:tr>
      <w:tr w14:paraId="5F8F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1BF151">
            <w:pPr>
              <w:spacing w:after="0" w:line="240" w:lineRule="auto"/>
            </w:pPr>
            <w:r>
              <w:t>9</w:t>
            </w:r>
          </w:p>
        </w:tc>
        <w:tc>
          <w:tcPr>
            <w:tcW w:w="2880" w:type="dxa"/>
          </w:tcPr>
          <w:p w14:paraId="5090488C">
            <w:pPr>
              <w:spacing w:after="0" w:line="240" w:lineRule="auto"/>
            </w:pPr>
            <w:r>
              <w:t>Output Layer</w:t>
            </w:r>
          </w:p>
        </w:tc>
        <w:tc>
          <w:tcPr>
            <w:tcW w:w="2880" w:type="dxa"/>
          </w:tcPr>
          <w:p w14:paraId="75AC6797">
            <w:pPr>
              <w:spacing w:after="0" w:line="240" w:lineRule="auto"/>
            </w:pPr>
            <w:r>
              <w:t>Displays disease prediction, confidence, and Grad-CAM image.</w:t>
            </w:r>
          </w:p>
        </w:tc>
      </w:tr>
    </w:tbl>
    <w:p w14:paraId="7D6E3809"/>
    <w:p w14:paraId="520E53C6">
      <w:pPr>
        <w:pStyle w:val="2"/>
        <w:rPr>
          <w:rFonts w:hint="default" w:ascii="Times New Roman" w:hAnsi="Times New Roman" w:cs="Times New Roman"/>
          <w:color w:val="000000" w:themeColor="text1"/>
          <w14:textFill>
            <w14:solidFill>
              <w14:schemeClr w14:val="tx1"/>
            </w14:solidFill>
          </w14:textFill>
        </w:rPr>
      </w:pPr>
    </w:p>
    <w:p w14:paraId="6D8868E4">
      <w:pPr>
        <w:pStyle w:val="2"/>
        <w:rPr>
          <w:rFonts w:hint="default" w:ascii="Times New Roman" w:hAnsi="Times New Roman" w:cs="Times New Roman"/>
          <w:color w:val="000000" w:themeColor="text1"/>
          <w14:textFill>
            <w14:solidFill>
              <w14:schemeClr w14:val="tx1"/>
            </w14:solidFill>
          </w14:textFill>
        </w:rPr>
      </w:pPr>
    </w:p>
    <w:p w14:paraId="53288918">
      <w:pPr>
        <w:pStyle w:val="2"/>
        <w:rPr>
          <w:rFonts w:hint="default" w:ascii="Times New Roman" w:hAnsi="Times New Roman" w:cs="Times New Roman"/>
          <w:color w:val="000000" w:themeColor="text1"/>
          <w14:textFill>
            <w14:solidFill>
              <w14:schemeClr w14:val="tx1"/>
            </w14:solidFill>
          </w14:textFill>
        </w:rPr>
      </w:pPr>
    </w:p>
    <w:p w14:paraId="3CB95BF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SYSTEM EXECUTION FLOWCHART</w:t>
      </w:r>
    </w:p>
    <w:p w14:paraId="3F0E3A9E">
      <w:r>
        <w:t>The following flowchart illustrates the complex end-to-end technical sequence of execution in a highly readable format.</w:t>
      </w:r>
    </w:p>
    <w:p w14:paraId="33CB4EAC">
      <w:pPr>
        <w:jc w:val="center"/>
      </w:pPr>
      <w:r>
        <w:drawing>
          <wp:inline distT="0" distB="0" distL="114300" distR="114300">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5486400"/>
                    </a:xfrm>
                    <a:prstGeom prst="rect">
                      <a:avLst/>
                    </a:prstGeom>
                  </pic:spPr>
                </pic:pic>
              </a:graphicData>
            </a:graphic>
          </wp:inline>
        </w:drawing>
      </w:r>
    </w:p>
    <w:p w14:paraId="08765B1E">
      <w:pPr>
        <w:jc w:val="center"/>
      </w:pPr>
      <w:r>
        <w:rPr>
          <w:i/>
        </w:rPr>
        <w:t>Figure 3. Step-by-step execution flowchart of the System</w:t>
      </w:r>
    </w:p>
    <w:p w14:paraId="176E3F73">
      <w:pPr>
        <w:pStyle w:val="3"/>
        <w:ind w:firstLine="1546" w:firstLineChars="55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Step-by-Step Flowchart Explanation</w:t>
      </w:r>
    </w:p>
    <w:p w14:paraId="0C2C7925">
      <w:pPr>
        <w:pStyle w:val="23"/>
        <w:jc w:val="both"/>
        <w:rPr>
          <w:sz w:val="25"/>
          <w:szCs w:val="25"/>
        </w:rPr>
      </w:pPr>
      <w:r>
        <w:rPr>
          <w:sz w:val="25"/>
          <w:szCs w:val="25"/>
        </w:rPr>
        <w:t>Step 1: Streamlit UI Initializes - The system sets the page configuration, UI layout, and detects if CUDA (GPU) or CPU is available for execution.</w:t>
      </w:r>
    </w:p>
    <w:p w14:paraId="4F4364EF">
      <w:pPr>
        <w:pStyle w:val="23"/>
        <w:jc w:val="both"/>
        <w:rPr>
          <w:sz w:val="25"/>
          <w:szCs w:val="25"/>
        </w:rPr>
      </w:pPr>
      <w:r>
        <w:rPr>
          <w:sz w:val="25"/>
          <w:szCs w:val="25"/>
        </w:rPr>
        <w:t>Step 2: Load PyTorch Model (.pt checkpoint) - Based on user selection (EfficientNet or ResNet), the system constructs the model and loads the pre-trained weights into memory, setting model.eval().</w:t>
      </w:r>
    </w:p>
    <w:p w14:paraId="431011FC">
      <w:pPr>
        <w:pStyle w:val="23"/>
        <w:jc w:val="both"/>
        <w:rPr>
          <w:sz w:val="25"/>
          <w:szCs w:val="25"/>
        </w:rPr>
      </w:pPr>
      <w:r>
        <w:rPr>
          <w:sz w:val="25"/>
          <w:szCs w:val="25"/>
        </w:rPr>
        <w:t>Step 3: User Uploads Image - The user selects a JPG or PNG image of a Guava leaf or fruit through the Streamlit uploader.</w:t>
      </w:r>
    </w:p>
    <w:p w14:paraId="0DF26B3A">
      <w:pPr>
        <w:pStyle w:val="23"/>
        <w:jc w:val="both"/>
        <w:rPr>
          <w:sz w:val="25"/>
          <w:szCs w:val="25"/>
        </w:rPr>
      </w:pPr>
      <w:r>
        <w:rPr>
          <w:sz w:val="25"/>
          <w:szCs w:val="25"/>
        </w:rPr>
        <w:t>Step 4: Image Preprocessing - The PIL image is converted to RGB, resized to exactly 224x224, converted to a PyTorch Tensor, and normalized using standard ImageNet statistics.</w:t>
      </w:r>
    </w:p>
    <w:p w14:paraId="347403CF">
      <w:pPr>
        <w:pStyle w:val="23"/>
        <w:jc w:val="both"/>
        <w:rPr>
          <w:sz w:val="25"/>
          <w:szCs w:val="25"/>
        </w:rPr>
      </w:pPr>
      <w:r>
        <w:rPr>
          <w:sz w:val="25"/>
          <w:szCs w:val="25"/>
        </w:rPr>
        <w:t>Step 5: GPU/CP</w:t>
      </w:r>
      <w:bookmarkStart w:id="0" w:name="_GoBack"/>
      <w:bookmarkEnd w:id="0"/>
      <w:r>
        <w:rPr>
          <w:sz w:val="25"/>
          <w:szCs w:val="25"/>
        </w:rPr>
        <w:t>U Inference - The preprocessed image tensor is passed into the Deep Learning model for a forward pass (under torch.no_grad()) to extract deep visual features.</w:t>
      </w:r>
    </w:p>
    <w:p w14:paraId="2317BC83">
      <w:pPr>
        <w:pStyle w:val="23"/>
        <w:jc w:val="both"/>
        <w:rPr>
          <w:sz w:val="25"/>
          <w:szCs w:val="25"/>
        </w:rPr>
      </w:pPr>
      <w:r>
        <w:rPr>
          <w:sz w:val="25"/>
          <w:szCs w:val="25"/>
        </w:rPr>
        <w:t>Step 6: Softmax Probabilities - The raw logits from the model are passed through a Softmax function to convert them into a percentage-based probability distribution. The class with the highest probability is selected (Argmax).</w:t>
      </w:r>
    </w:p>
    <w:p w14:paraId="7C1E3B30">
      <w:pPr>
        <w:pStyle w:val="23"/>
        <w:jc w:val="both"/>
        <w:rPr>
          <w:sz w:val="25"/>
          <w:szCs w:val="25"/>
        </w:rPr>
      </w:pPr>
      <w:r>
        <w:rPr>
          <w:sz w:val="25"/>
          <w:szCs w:val="25"/>
        </w:rPr>
        <w:t>Step 7: Grad-CAM Explainability - The system selects the target Convolutional Layer (e.g., layer4 for ResNet) and generates a Gradient-weighted Class Activation Mapping (Grad-CAM) heatmap to explain the model's focus.</w:t>
      </w:r>
    </w:p>
    <w:p w14:paraId="2060C42E">
      <w:pPr>
        <w:pStyle w:val="23"/>
        <w:jc w:val="both"/>
        <w:rPr>
          <w:sz w:val="25"/>
          <w:szCs w:val="25"/>
        </w:rPr>
      </w:pPr>
      <w:r>
        <w:rPr>
          <w:sz w:val="25"/>
          <w:szCs w:val="25"/>
        </w:rPr>
        <w:t>Step 8: Display Final Results - The Streamlit UI displays the Predicted Disease Class, the Confidence Percentage, and overlays the Grad-CAM heatmap on the original image for the user to interpret.</w:t>
      </w:r>
    </w:p>
    <w:p w14:paraId="12F76E7E">
      <w:r>
        <w:br w:type="page"/>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C2FF8"/>
    <w:rsid w:val="440C18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Rushikesh Kunde</cp:lastModifiedBy>
  <dcterms:modified xsi:type="dcterms:W3CDTF">2026-10-09T05:42:35Z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eyJoZGlkIjoiZTI3NmYwNDE3YTExYTI5ZTVmYzllYmYzOTIyY2I3MzUiLCJ1c2VySWQiOiI1NDk3NzY0OTQ1MzcifQ==</vt:lpwstr>
  </property>
  <property fmtid="{D5CDD505-2E9C-101B-9397-08002B2CF9AE}" pid="3" name="KSOProductBuildVer">
    <vt:lpwstr>1033-12.1.0.28096</vt:lpwstr>
  </property>
  <property fmtid="{D5CDD505-2E9C-101B-9397-08002B2CF9AE}" pid="4" name="ICV">
    <vt:lpwstr>0421F78C17224F5082DFEE553AF2AF6D_12</vt:lpwstr>
  </property>
</Properties>
</file>