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Independent Contractor Agreement</w:t>
      </w:r>
    </w:p>
    <w:p>
      <w:r>
        <w:t>This agreement is between DataFactZ Client Corp and Laura Elizabeth Rogers.</w:t>
      </w:r>
    </w:p>
    <w:p>
      <w:r>
        <w:t>Contractor Tax ID (SSN): 508-86-6119</w:t>
      </w:r>
    </w:p>
    <w:p>
      <w:r>
        <w:t>Notices shall be sent to: 3545 Beard Squares, Angelahaven, ID 11722</w:t>
      </w:r>
    </w:p>
    <w:p>
      <w:r>
        <w:t>Contractor phone: 001-498-694-1343x5240</w:t>
      </w:r>
    </w:p>
    <w:p>
      <w:r>
        <w:t>Payment terms: Net 30 against invoice number 251-37-4521 (internal invoice numbering, not a personal identifier).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