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L02 · OBJECTIVE 3</w:t>
      </w:r>
    </w:p>
    <w:p>
      <w:pPr>
        <w:spacing w:after="70"/>
      </w:pPr>
      <w:r>
        <w:rPr>
          <w:rFonts w:ascii="Cambria" w:cs="Cambria" w:eastAsia="Cambria" w:hAnsi="Cambria"/>
          <w:b/>
          <w:bCs/>
          <w:color w:val="21295C"/>
          <w:sz w:val="40"/>
          <w:szCs w:val="40"/>
        </w:rPr>
        <w:t xml:space="preserve">L02 — Shipping formats: safetensors, AWQ/GPTQ, GGUF, ONNX</w:t>
      </w:r>
    </w:p>
    <w:p>
      <w:pPr>
        <w:pBdr>
          <w:bottom w:val="single" w:color="E0A800" w:sz="12" w:space="4"/>
        </w:pBdr>
        <w:spacing w:after="180"/>
      </w:pPr>
      <w:r>
        <w:rPr>
          <w:rFonts w:ascii="Calibri" w:cs="Calibri" w:eastAsia="Calibri" w:hAnsi="Calibri"/>
          <w:i/>
          <w:iCs/>
          <w:color w:val="065A82"/>
          <w:sz w:val="22"/>
          <w:szCs w:val="22"/>
        </w:rPr>
        <w:t xml:space="preserve">Convert a Gemma 4 checkpoint through the shipping formats and measure size vs quality; hand-roll group-wise quantisation first so the trade-off is understood, not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Databricks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Standard_NC24ads_A100_v4</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 h (of which ≈1.25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labs/L02/L02_lab.ipynb (starter) · L02_solution.ipynb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Hand-rolled int4 group quantiser reconstructs within tolerance; ONNX export round-trips; format table produced from measured sizes.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Compact model on store handhelds for offline product look-ups (GGUF) · Shrinking the A100 footprint of the nightly supplier-sheet extraction job (AWQ) · Taxonomy classifier shipped as ONNX inside the PIM pipeline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4 checks PASS, 1 GPU-only step(s) deferred;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Hand-roll group-wise weight quantisation</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AWQ and GPTQ are both "group-wise int4 with a per-group scale, plus a cleverer choice of which weights to protect". If you can write the plain version you can read their papers.</w:t>
      </w:r>
    </w:p>
    <w:p>
      <w:pPr>
        <w:spacing w:after="110"/>
      </w:pPr>
      <w:r>
        <w:rPr>
          <w:rFonts w:ascii="Calibri" w:cs="Calibri" w:eastAsia="Calibri" w:hAnsi="Calibri"/>
          <w:b/>
          <w:bCs/>
          <w:color w:val="065A82"/>
          <w:sz w:val="22"/>
          <w:szCs w:val="22"/>
        </w:rPr>
        <w:t xml:space="preserve">What: </w:t>
      </w:r>
      <w:r>
        <w:rPr>
          <w:rFonts w:ascii="Calibri" w:cs="Calibri" w:eastAsia="Calibri" w:hAnsi="Calibri"/>
          <w:sz w:val="22"/>
          <w:szCs w:val="22"/>
        </w:rPr>
        <w:t xml:space="preserve">quantise a weight matrix in groups of 128 along the input dimension with a symmetric scale, dequantise, and measure relative error.</w:t>
      </w:r>
    </w:p>
    <w:p>
      <w:pPr>
        <w:pStyle w:val="Heading3"/>
        <w:spacing w:after="60" w:before="140"/>
      </w:pPr>
      <w:r>
        <w:rPr>
          <w:rFonts w:ascii="Cambria" w:cs="Cambria" w:eastAsia="Cambria" w:hAnsi="Cambria"/>
          <w:b/>
          <w:bCs/>
          <w:color w:val="1C7293"/>
          <w:sz w:val="23"/>
          <w:szCs w:val="23"/>
        </w:rPr>
        <w:t xml:space="preserve">Step 2 — Why group size and outliers matter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 single outlier weight blows up the scale for its whole group; that is the problem AWQ (activation-aware scaling) and GPTQ (error-compensating rounding) solve differently.</w:t>
      </w:r>
    </w:p>
    <w:p>
      <w:pPr>
        <w:spacing w:after="110"/>
      </w:pPr>
      <w:r>
        <w:rPr>
          <w:rFonts w:ascii="Calibri" w:cs="Calibri" w:eastAsia="Calibri" w:hAnsi="Calibri"/>
          <w:b/>
          <w:bCs/>
          <w:color w:val="065A82"/>
          <w:sz w:val="22"/>
          <w:szCs w:val="22"/>
        </w:rPr>
        <w:t xml:space="preserve">What: </w:t>
      </w:r>
      <w:r>
        <w:rPr>
          <w:rFonts w:ascii="Calibri" w:cs="Calibri" w:eastAsia="Calibri" w:hAnsi="Calibri"/>
          <w:sz w:val="22"/>
          <w:szCs w:val="22"/>
        </w:rPr>
        <w:t xml:space="preserve">plant one outlier and watch group-256 error rise; shrink the group and watch it fall — the price of smaller groups is more scale values to store.</w:t>
      </w:r>
    </w:p>
    <w:p>
      <w:pPr>
        <w:pStyle w:val="Heading3"/>
        <w:spacing w:after="60" w:before="140"/>
      </w:pPr>
      <w:r>
        <w:rPr>
          <w:rFonts w:ascii="Cambria" w:cs="Cambria" w:eastAsia="Cambria" w:hAnsi="Cambria"/>
          <w:b/>
          <w:bCs/>
          <w:color w:val="1C7293"/>
          <w:sz w:val="23"/>
          <w:szCs w:val="23"/>
        </w:rPr>
        <w:t xml:space="preserve">Step 3 — ONNX export round-trip (encoder-style classifier)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ONNX is the format the catalog-NLP team ships encoder classifiers in (L08). Prove an export reproduces the source model's predictions before trusting any converter.</w:t>
      </w:r>
    </w:p>
    <w:p>
      <w:pPr>
        <w:spacing w:after="110"/>
      </w:pPr>
      <w:r>
        <w:rPr>
          <w:rFonts w:ascii="Calibri" w:cs="Calibri" w:eastAsia="Calibri" w:hAnsi="Calibri"/>
          <w:b/>
          <w:bCs/>
          <w:color w:val="065A82"/>
          <w:sz w:val="22"/>
          <w:szCs w:val="22"/>
        </w:rPr>
        <w:t xml:space="preserve">What: </w:t>
      </w:r>
      <w:r>
        <w:rPr>
          <w:rFonts w:ascii="Calibri" w:cs="Calibri" w:eastAsia="Calibri" w:hAnsi="Calibri"/>
          <w:sz w:val="22"/>
          <w:szCs w:val="22"/>
        </w:rPr>
        <w:t xml:space="preserve">in SMOKE mode export a scikit-learn model with `skl2onnx` and run it in `onnxruntime`; in GPU mode swap in the `transformers` → `optimum` export of the RoBERTa-class model (lab guide §Step 3).</w:t>
      </w:r>
    </w:p>
    <w:p>
      <w:pPr>
        <w:pStyle w:val="Heading3"/>
        <w:spacing w:after="60" w:before="140"/>
      </w:pPr>
      <w:r>
        <w:rPr>
          <w:rFonts w:ascii="Cambria" w:cs="Cambria" w:eastAsia="Cambria" w:hAnsi="Cambria"/>
          <w:b/>
          <w:bCs/>
          <w:color w:val="1C7293"/>
          <w:sz w:val="23"/>
          <w:szCs w:val="23"/>
        </w:rPr>
        <w:t xml:space="preserve">Step 4 — Real model: safetensors → AWQ → GGUF (GPU cluster)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same measurement discipline on Gemma 4 E4B. Each converter is a separate library with its own version drift — pin versions in the cluster init script (lab guide §Setup).</w:t>
      </w:r>
    </w:p>
    <w:p>
      <w:pPr>
        <w:spacing w:after="110"/>
      </w:pPr>
      <w:r>
        <w:rPr>
          <w:rFonts w:ascii="Calibri" w:cs="Calibri" w:eastAsia="Calibri" w:hAnsi="Calibri"/>
          <w:b/>
          <w:bCs/>
          <w:color w:val="065A82"/>
          <w:sz w:val="22"/>
          <w:szCs w:val="22"/>
        </w:rPr>
        <w:t xml:space="preserve">What: </w:t>
      </w:r>
      <w:r>
        <w:rPr>
          <w:rFonts w:ascii="Calibri" w:cs="Calibri" w:eastAsia="Calibri" w:hAnsi="Calibri"/>
          <w:sz w:val="22"/>
          <w:szCs w:val="22"/>
        </w:rPr>
        <w:t xml:space="preserve">download the checkpoint (safetensors), quantise with AutoAWQ, convert to GGUF with llama.cpp's converter, record file sizes. Library APIs are version-sensitive: confirm signatures in the docs on the day.</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`hf download google/gemma-4-e4b-it --local-dir /local_disk0/gemma4` (verify model id). AWQ: `from awq import AutoAWQForCausalLM` → `quantize(tokenizer, quant_config={'w_bit':4,'q_group_size':128,'zero_point':True,'version':'GEMM'})` → `save_quantized`. GGUF: clone llama.cpp, `python convert_hf_to_gguf.py /local_disk0/gemma4 --outtype q4_k_m --outfile gemma4.gguf` (script name and `--outtype` values are version-sensitive). Record `ls -l` sizes into `sizes`.</w:t>
      </w:r>
    </w:p>
    <w:p>
      <w:pPr>
        <w:pStyle w:val="Heading3"/>
        <w:spacing w:after="60" w:before="140"/>
      </w:pPr>
      <w:r>
        <w:rPr>
          <w:rFonts w:ascii="Cambria" w:cs="Cambria" w:eastAsia="Cambria" w:hAnsi="Cambria"/>
          <w:b/>
          <w:bCs/>
          <w:color w:val="1C7293"/>
          <w:sz w:val="23"/>
          <w:szCs w:val="23"/>
        </w:rPr>
        <w:t xml:space="preserve">Step 5 — Quality check per format</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size without quality is meaningless. Run the same 50-prompt eval (from `eval_prompts.jsonl`) against each format's serving path and record exact-match on the attribute-extraction task.</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Serve each artefact: safetensors and AWQ via `vllm serve &lt;path&gt; --quantization awq` (for AWQ); GGUF via `llama-server -m gemma4.gguf`. Run the 50 eval prompts through each with temperature 0 and compute exact-match with the provided function.</w:t>
      </w:r>
    </w:p>
    <w:p>
      <w:pPr>
        <w:pStyle w:val="Heading3"/>
        <w:spacing w:after="60" w:before="140"/>
      </w:pPr>
      <w:r>
        <w:rPr>
          <w:rFonts w:ascii="Cambria" w:cs="Cambria" w:eastAsia="Cambria" w:hAnsi="Cambria"/>
          <w:b/>
          <w:bCs/>
          <w:color w:val="1C7293"/>
          <w:sz w:val="23"/>
          <w:szCs w:val="23"/>
        </w:rPr>
        <w:t xml:space="preserve">Step 6 — The format table (the deliverable)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team decides which format ships where — edge (GGUF), GPU serving (AWQ/safetensors), CPU batch (ONNX). The numbers are yours, not a vendor's.</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60</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12</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L02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2026-09-11T11:32:11.674Z</dcterms:created>
  <dcterms:modified xsi:type="dcterms:W3CDTF">2026-09-11T11:32:11.674Z</dcterms:modified>
</cp:coreProperties>
</file>

<file path=docProps/custom.xml><?xml version="1.0" encoding="utf-8"?>
<Properties xmlns="http://schemas.openxmlformats.org/officeDocument/2006/custom-properties" xmlns:vt="http://schemas.openxmlformats.org/officeDocument/2006/docPropsVTypes"/>
</file>