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L03 · OBJECTIVE 4</w:t>
      </w:r>
    </w:p>
    <w:p>
      <w:pPr>
        <w:spacing w:after="70"/>
      </w:pPr>
      <w:r>
        <w:rPr>
          <w:rFonts w:ascii="Cambria" w:cs="Cambria" w:eastAsia="Cambria" w:hAnsi="Cambria"/>
          <w:b/>
          <w:bCs/>
          <w:color w:val="21295C"/>
          <w:sz w:val="40"/>
          <w:szCs w:val="40"/>
        </w:rPr>
        <w:t xml:space="preserve">L03 — Serving bake-off: vLLM vs TensorRT-LLM vs SGLang</w:t>
      </w:r>
    </w:p>
    <w:p>
      <w:pPr>
        <w:pBdr>
          <w:bottom w:val="single" w:color="E0A800" w:sz="12" w:space="4"/>
        </w:pBdr>
        <w:spacing w:after="180"/>
      </w:pPr>
      <w:r>
        <w:rPr>
          <w:rFonts w:ascii="Calibri" w:cs="Calibri" w:eastAsia="Calibri" w:hAnsi="Calibri"/>
          <w:i/>
          <w:iCs/>
          <w:color w:val="065A82"/>
          <w:sz w:val="22"/>
          <w:szCs w:val="22"/>
        </w:rPr>
        <w:t xml:space="preserve">Serve the same Gemma model on three engines and benchmark throughput, TTFT p50/p95 and cold start with a harness you built and validated against a mock server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≈2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labs/L03/L03_lab.ipynb (starter) · L03_solution.ipynb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Harness metrics match analytic values on the mock server; decision memo table has the team's own numbers at 3 concurrency levels.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Engine choice for the customer assistant under a p95 TTFT SLA at weekend peak · Whether a TensorRT-LLM engine build is worth it for the long-lived store-ops model</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1 GPU-only step(s) deferred;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the request mix</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benchmark numbers are only comparable if every engine sees the same prompts. `request_mix.jsonl` is 500 (prompt_tokens, max_new) pairs shaped like the ad-copy workload.</w:t>
      </w:r>
    </w:p>
    <w:p>
      <w:pPr>
        <w:pStyle w:val="Heading3"/>
        <w:spacing w:after="60" w:before="140"/>
      </w:pPr>
      <w:r>
        <w:rPr>
          <w:rFonts w:ascii="Cambria" w:cs="Cambria" w:eastAsia="Cambria" w:hAnsi="Cambria"/>
          <w:b/>
          <w:bCs/>
          <w:color w:val="1C7293"/>
          <w:sz w:val="23"/>
          <w:szCs w:val="23"/>
        </w:rPr>
        <w:t xml:space="preserve">Step 2 — Build the async benchmark harness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TTFT and throughput must be measured under concurrency, streaming, with the first token timestamped separately. A harness that is wrong by one `await` gives wrong engine rankings.</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`run_benchmark(send, reqs, concurrency)` takes an async `send(req) -&gt; async iterator of tokens`, drives it with a semaphore, and returns per-request TTFT and total time.</w:t>
      </w:r>
    </w:p>
    <w:p>
      <w:pPr>
        <w:pStyle w:val="Heading3"/>
        <w:spacing w:after="60" w:before="140"/>
      </w:pPr>
      <w:r>
        <w:rPr>
          <w:rFonts w:ascii="Cambria" w:cs="Cambria" w:eastAsia="Cambria" w:hAnsi="Cambria"/>
          <w:b/>
          <w:bCs/>
          <w:color w:val="1C7293"/>
          <w:sz w:val="23"/>
          <w:szCs w:val="23"/>
        </w:rPr>
        <w:t xml:space="preserve">Step 3 — Validate the harness on a mock server with known latencies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before pointing the harness at a real engine, prove it measures correctly. The mock yields its first token after exactly 50 ms and then one token per 5 ms, so TTFT p50 must be ≈50 ms and tokens/s ≈ concurrency × 200 (minus scheduling overhead).</w:t>
      </w:r>
    </w:p>
    <w:p>
      <w:pPr>
        <w:pStyle w:val="Heading3"/>
        <w:spacing w:after="60" w:before="140"/>
      </w:pPr>
      <w:r>
        <w:rPr>
          <w:rFonts w:ascii="Cambria" w:cs="Cambria" w:eastAsia="Cambria" w:hAnsi="Cambria"/>
          <w:b/>
          <w:bCs/>
          <w:color w:val="1C7293"/>
          <w:sz w:val="23"/>
          <w:szCs w:val="23"/>
        </w:rPr>
        <w:t xml:space="preserve">Step 4 — Point the harness at real engines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vLLM, SGLang and TensorRT-LLM all expose an OpenAI-compatible `/v1/completions` streaming endpoint, so one `send` implementation covers all three. Start each server per lab guide §Step 4 (ports 8001/8002/8003), and note the cold-start and engine-build times by hand — they matter as much as throughput.</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SGLang's RadixAttention benefits from shared prefixes; use the same system prompt for every request or you will under-measure it.</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Start servers on separate ports (one at a time to keep GPU memory free): vLLM `vllm serve google/gemma-4-e4b-it --port 8001`; SGLang `python -m sglang.launch_server --model-path google/gemma-4-e4b-it --port 8002`; TensorRT-LLM: build the engine (`trtllm-build` or the PyTorch backend `trtllm-serve` — the CLI surface changed across 2025–26; use whichever the installed version documents) and serve on 8003. `pip install httpx` for the harness client.</w:t>
      </w:r>
    </w:p>
    <w:p>
      <w:pPr>
        <w:pStyle w:val="Heading3"/>
        <w:spacing w:after="60" w:before="140"/>
      </w:pPr>
      <w:r>
        <w:rPr>
          <w:rFonts w:ascii="Cambria" w:cs="Cambria" w:eastAsia="Cambria" w:hAnsi="Cambria"/>
          <w:b/>
          <w:bCs/>
          <w:color w:val="1C7293"/>
          <w:sz w:val="23"/>
          <w:szCs w:val="23"/>
        </w:rPr>
        <w:t xml:space="preserve">Step 5 — Record cold start and engine-build time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TensorRT-LLM's engine build is a one-off cost that can dominate for short-lived deployments; vLLM/SGLang start in about a minute. Time them with a stopwatch and record here — this is the number that decides the "single long-lived model" case.</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Stopwatch from process start to first successful `/v1/models` response = cold start. For TensorRT-LLM record engine-build time separately.</w:t>
      </w:r>
    </w:p>
    <w:p>
      <w:pPr>
        <w:pStyle w:val="Heading3"/>
        <w:spacing w:after="60" w:before="140"/>
      </w:pPr>
      <w:r>
        <w:rPr>
          <w:rFonts w:ascii="Cambria" w:cs="Cambria" w:eastAsia="Cambria" w:hAnsi="Cambria"/>
          <w:b/>
          <w:bCs/>
          <w:color w:val="1C7293"/>
          <w:sz w:val="23"/>
          <w:szCs w:val="23"/>
        </w:rPr>
        <w:t xml:space="preserve">Step 6 — Decision table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one table, your numbers, three concurrency levels, plus the cold-start row. Write the recommendation under it in one sentence naming the constraint that decided it.</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L03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2026-09-11T11:32:11.692Z</dcterms:created>
  <dcterms:modified xsi:type="dcterms:W3CDTF">2026-09-11T11:32:11.692Z</dcterms:modified>
</cp:coreProperties>
</file>

<file path=docProps/custom.xml><?xml version="1.0" encoding="utf-8"?>
<Properties xmlns="http://schemas.openxmlformats.org/officeDocument/2006/custom-properties" xmlns:vt="http://schemas.openxmlformats.org/officeDocument/2006/docPropsVTypes"/>
</file>