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L05 · OBJECTIVE 6</w:t>
      </w:r>
    </w:p>
    <w:p>
      <w:pPr>
        <w:spacing w:after="70"/>
      </w:pPr>
      <w:r>
        <w:rPr>
          <w:rFonts w:ascii="Cambria" w:cs="Cambria" w:eastAsia="Cambria" w:hAnsi="Cambria"/>
          <w:b/>
          <w:bCs/>
          <w:color w:val="21295C"/>
          <w:sz w:val="40"/>
          <w:szCs w:val="40"/>
        </w:rPr>
        <w:t xml:space="preserve">L05 — GPU kernel optimisation: FlashAttention &amp; a fused kernel</w:t>
      </w:r>
    </w:p>
    <w:p>
      <w:pPr>
        <w:pBdr>
          <w:bottom w:val="single" w:color="E0A800" w:sz="12" w:space="4"/>
        </w:pBdr>
        <w:spacing w:after="180"/>
      </w:pPr>
      <w:r>
        <w:rPr>
          <w:rFonts w:ascii="Calibri" w:cs="Calibri" w:eastAsia="Calibri" w:hAnsi="Calibri"/>
          <w:i/>
          <w:iCs/>
          <w:color w:val="065A82"/>
          <w:sz w:val="22"/>
          <w:szCs w:val="22"/>
        </w:rPr>
        <w:t xml:space="preserve">Hand-roll naive vs tiled (flash-style) attention to see why memory traffic, not FLOPs, is the bottleneck; then profile a real decode step, enable FlashAttention and write one fused Triton 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Databricks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Standard_NC24ads_A100_v4</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2.5 h (of which ≈1.5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labs/L05/L05_lab.ipynb (starter) · L05_solution.ipynb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Tiled attention equals naive within 1e-5 while reading O(N) rather than O(N^2) from 'HBM'; before/after profiler traces captured.</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p99 latency of the substitution ranker scoring 200 candidates per request · Fewer GPUs for long-context supplier-sheet extraction</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4 checks PASS, 1 GPU-only step(s) deferred;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Naive attention, and count what it reads/writes</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N×N score matrix is materialised in memory. On a GPU that matrix lives in HBM, and moving it is what costs time — not the FLOPs.</w:t>
      </w:r>
    </w:p>
    <w:p>
      <w:pPr>
        <w:pStyle w:val="Heading3"/>
        <w:spacing w:after="60" w:before="140"/>
      </w:pPr>
      <w:r>
        <w:rPr>
          <w:rFonts w:ascii="Cambria" w:cs="Cambria" w:eastAsia="Cambria" w:hAnsi="Cambria"/>
          <w:b/>
          <w:bCs/>
          <w:color w:val="1C7293"/>
          <w:sz w:val="23"/>
          <w:szCs w:val="23"/>
        </w:rPr>
        <w:t xml:space="preserve">Step 2 — Tiled (flash-style) attention with online softmax</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FlashAttention never materialises S or P. It streams K/V in blocks, keeps a running max and running sum per query row, and rescales the partial output as the max changes. Traffic becomes O(N·d) instead of O(N²).</w:t>
      </w:r>
    </w:p>
    <w:p>
      <w:pPr>
        <w:spacing w:after="110"/>
      </w:pPr>
      <w:r>
        <w:rPr>
          <w:rFonts w:ascii="Calibri" w:cs="Calibri" w:eastAsia="Calibri" w:hAnsi="Calibri"/>
          <w:b/>
          <w:bCs/>
          <w:color w:val="065A82"/>
          <w:sz w:val="22"/>
          <w:szCs w:val="22"/>
        </w:rPr>
        <w:t xml:space="preserve">What: </w:t>
      </w:r>
      <w:r>
        <w:rPr>
          <w:rFonts w:ascii="Calibri" w:cs="Calibri" w:eastAsia="Calibri" w:hAnsi="Calibri"/>
          <w:sz w:val="22"/>
          <w:szCs w:val="22"/>
        </w:rPr>
        <w:t xml:space="preserve">implement the online-softmax recurrence. This is the single most important algorithm in modern inference; write it once by hand.</w:t>
      </w:r>
    </w:p>
    <w:p>
      <w:pPr>
        <w:pStyle w:val="Heading3"/>
        <w:spacing w:after="60" w:before="140"/>
      </w:pPr>
      <w:r>
        <w:rPr>
          <w:rFonts w:ascii="Cambria" w:cs="Cambria" w:eastAsia="Cambria" w:hAnsi="Cambria"/>
          <w:b/>
          <w:bCs/>
          <w:color w:val="1C7293"/>
          <w:sz w:val="23"/>
          <w:szCs w:val="23"/>
        </w:rPr>
        <w:t xml:space="preserve">Step 3 — Scaling: traffic vs N</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argument for FlashAttention is the slope, not one point. Naive traffic grows with N², tiled with N.</w:t>
      </w:r>
    </w:p>
    <w:p>
      <w:pPr>
        <w:pStyle w:val="Heading3"/>
        <w:spacing w:after="60" w:before="140"/>
      </w:pPr>
      <w:r>
        <w:rPr>
          <w:rFonts w:ascii="Cambria" w:cs="Cambria" w:eastAsia="Cambria" w:hAnsi="Cambria"/>
          <w:b/>
          <w:bCs/>
          <w:color w:val="1C7293"/>
          <w:sz w:val="23"/>
          <w:szCs w:val="23"/>
        </w:rPr>
        <w:t xml:space="preserve">Step 4 — Profile a real decode step (GPU cluster)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now measure it. Load Gemma 4 E4B in `torch` with `attn_implementation="eager"` and again with `"flash_attention_2"` (or SDPA), run 32 decode steps under `torch.profiler`, and compare kernel time share for attention.</w:t>
      </w:r>
    </w:p>
    <w:p>
      <w:pPr>
        <w:spacing w:after="110"/>
      </w:pPr>
      <w:r>
        <w:rPr>
          <w:rFonts w:ascii="Calibri" w:cs="Calibri" w:eastAsia="Calibri" w:hAnsi="Calibri"/>
          <w:b/>
          <w:bCs/>
          <w:color w:val="065A82"/>
          <w:sz w:val="22"/>
          <w:szCs w:val="22"/>
        </w:rPr>
        <w:t xml:space="preserve">Watch: </w:t>
      </w:r>
      <w:r>
        <w:rPr>
          <w:rFonts w:ascii="Calibri" w:cs="Calibri" w:eastAsia="Calibri" w:hAnsi="Calibri"/>
          <w:sz w:val="22"/>
          <w:szCs w:val="22"/>
        </w:rPr>
        <w:t xml:space="preserve">FlashAttention-2 requires Ampere or newer and specific `torch`/`flash-attn` version pairs — pin them in the init script; verify availability with `flash_attn.__version__` on the day.</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`model = AutoModelForCausalLM.from_pretrained(id, torch_dtype=torch.bfloat16, attn_implementation='eager').cuda()`; wrap 32 `generate` tokens in `torch.profiler.profile(activities=[CPU,CUDA])`; `prof.export_chrome_trace('eager.json')`; repeat with `attn_implementation='flash_attention_2'` (requires `flash-attn` built for the runtime's torch/CUDA — check `import flash_attn` first). Compare attention kernel share in `prof.key_averages()`.</w:t>
      </w:r>
    </w:p>
    <w:p>
      <w:pPr>
        <w:pStyle w:val="Heading3"/>
        <w:spacing w:after="60" w:before="140"/>
      </w:pPr>
      <w:r>
        <w:rPr>
          <w:rFonts w:ascii="Cambria" w:cs="Cambria" w:eastAsia="Cambria" w:hAnsi="Cambria"/>
          <w:b/>
          <w:bCs/>
          <w:color w:val="1C7293"/>
          <w:sz w:val="23"/>
          <w:szCs w:val="23"/>
        </w:rPr>
        <w:t xml:space="preserve">Step 5 — Write one fused kernel in Triton (GPU cluster)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fusion (e.g. RMSNorm + residual add) removes a full read/write of the activation tensor. The lab-guide listing gives the kernel skeleton; your job is to make it match the PyTorch reference within tolerance and beat it on a 4096×4096 tensor.</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Kernel skeleton: `@triton.jit def fused_rmsnorm_residual(x_ptr, r_ptr, w_ptr, out_ptr, n_cols, eps, BLOCK: tl.constexpr)` — load a row of x and residual, add, compute rsqrt(mean(x²)+eps), multiply by weight, store. Compare with `torch` reference (`allclose atol=1e-3`) and time with `triton.testing.do_bench`.</w:t>
      </w:r>
    </w:p>
    <w:p>
      <w:pPr>
        <w:pStyle w:val="Heading3"/>
        <w:spacing w:after="60" w:before="140"/>
      </w:pPr>
      <w:r>
        <w:rPr>
          <w:rFonts w:ascii="Cambria" w:cs="Cambria" w:eastAsia="Cambria" w:hAnsi="Cambria"/>
          <w:b/>
          <w:bCs/>
          <w:color w:val="1C7293"/>
          <w:sz w:val="23"/>
          <w:szCs w:val="23"/>
        </w:rPr>
        <w:t xml:space="preserve">Step 6 — Before/after summary (the deliverable)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two profiler traces and one sentence: where did the time go, and why did it move.</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30</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75</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30</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15</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L05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2026-09-11T11:32:11.763Z</dcterms:created>
  <dcterms:modified xsi:type="dcterms:W3CDTF">2026-09-11T11:32:11.763Z</dcterms:modified>
</cp:coreProperties>
</file>

<file path=docProps/custom.xml><?xml version="1.0" encoding="utf-8"?>
<Properties xmlns="http://schemas.openxmlformats.org/officeDocument/2006/custom-properties" xmlns:vt="http://schemas.openxmlformats.org/officeDocument/2006/docPropsVTypes"/>
</file>