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L10 · OBJECTIVE 13</w:t>
      </w:r>
    </w:p>
    <w:p>
      <w:pPr>
        <w:spacing w:after="70"/>
      </w:pPr>
      <w:r>
        <w:rPr>
          <w:rFonts w:ascii="Cambria" w:cs="Cambria" w:eastAsia="Cambria" w:hAnsi="Cambria"/>
          <w:b/>
          <w:bCs/>
          <w:color w:val="21295C"/>
          <w:sz w:val="40"/>
          <w:szCs w:val="40"/>
        </w:rPr>
        <w:t xml:space="preserve">L10 — Monitoring, drift &amp; injected-fault alerting</w:t>
      </w:r>
    </w:p>
    <w:p>
      <w:pPr>
        <w:pBdr>
          <w:bottom w:val="single" w:color="E0A800" w:sz="12" w:space="4"/>
        </w:pBdr>
        <w:spacing w:after="180"/>
      </w:pPr>
      <w:r>
        <w:rPr>
          <w:rFonts w:ascii="Calibri" w:cs="Calibri" w:eastAsia="Calibri" w:hAnsi="Calibri"/>
          <w:i/>
          <w:iCs/>
          <w:color w:val="065A82"/>
          <w:sz w:val="22"/>
          <w:szCs w:val="22"/>
        </w:rPr>
        <w:t xml:space="preserve">Compute PSI/KS drift, latency and cost-per-request metrics; build a Lakehouse Monitoring / Azure ML model-monitor view and prove one alert fires on an injected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labs/L10/L10_lab.ipynb (starter) · L10_solution.ipynb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PSI flags the planted drifted feature and not the stable ones; injected latency fault raises the alert.</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Promo-week and holiday drift in customer questions · Silent provider model update raising cost per conversation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the four-week window (week 4 is a promo week)</w:t>
      </w:r>
    </w:p>
    <w:p>
      <w:pPr>
        <w:pStyle w:val="Heading3"/>
        <w:spacing w:after="60" w:before="140"/>
      </w:pPr>
      <w:r>
        <w:rPr>
          <w:rFonts w:ascii="Cambria" w:cs="Cambria" w:eastAsia="Cambria" w:hAnsi="Cambria"/>
          <w:b/>
          <w:bCs/>
          <w:color w:val="1C7293"/>
          <w:sz w:val="23"/>
          <w:szCs w:val="23"/>
        </w:rPr>
        <w:t xml:space="preserve">Step 2 — Population Stability Index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PSI is what most monitoring products report; know its definition (Σ (p−q)·ln(p/q) over bins) and its usual thresholds (&lt;0.1 stable, 0.1–0.25 watch, &gt;0.25 drift).</w:t>
      </w:r>
    </w:p>
    <w:p>
      <w:pPr>
        <w:pStyle w:val="Heading3"/>
        <w:spacing w:after="60" w:before="140"/>
      </w:pPr>
      <w:r>
        <w:rPr>
          <w:rFonts w:ascii="Cambria" w:cs="Cambria" w:eastAsia="Cambria" w:hAnsi="Cambria"/>
          <w:b/>
          <w:bCs/>
          <w:color w:val="1C7293"/>
          <w:sz w:val="23"/>
          <w:szCs w:val="23"/>
        </w:rPr>
        <w:t xml:space="preserve">Step 3 — Cross-check with a KS test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PSI depends on binning; the two-sample KS statistic does not. Two methods agreeing is stronger evidence than one.</w:t>
      </w:r>
    </w:p>
    <w:p>
      <w:pPr>
        <w:pStyle w:val="Heading3"/>
        <w:spacing w:after="60" w:before="140"/>
      </w:pPr>
      <w:r>
        <w:rPr>
          <w:rFonts w:ascii="Cambria" w:cs="Cambria" w:eastAsia="Cambria" w:hAnsi="Cambria"/>
          <w:b/>
          <w:bCs/>
          <w:color w:val="1C7293"/>
          <w:sz w:val="23"/>
          <w:szCs w:val="23"/>
        </w:rPr>
        <w:t xml:space="preserve">Step 4 — Latency and cost-per-request, then inject a fault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alert you have never seen fire is not an alert. Compute p95 latency and cost per request per week, then inject a +40 % latency fault into a copy of week 4 and confirm the rule triggers.</w:t>
      </w:r>
    </w:p>
    <w:p>
      <w:pPr>
        <w:pStyle w:val="Heading3"/>
        <w:spacing w:after="60" w:before="140"/>
      </w:pPr>
      <w:r>
        <w:rPr>
          <w:rFonts w:ascii="Cambria" w:cs="Cambria" w:eastAsia="Cambria" w:hAnsi="Cambria"/>
          <w:b/>
          <w:bCs/>
          <w:color w:val="1C7293"/>
          <w:sz w:val="23"/>
          <w:szCs w:val="23"/>
        </w:rPr>
        <w:t xml:space="preserve">Step 5 — Configure the managed monitor (platform)</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hand-rolled version explains the numbers; the managed one runs unattended. Databricks: `Lakehouse Monitoring` on an inference table with a baseline table = week 1. Azure ML: model monitor with data-drift signal on the deployment's collected data. Both are configured through the UI/SDK per lab guide §Step 5 — API names are version-sensitive.</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Databricks: enable inference tables on the L07 endpoint; `from databricks.sdk.service.catalog import MonitorInferenceLog` (or `databricks.lakehouse_monitoring` — the API moved; verify) — create a monitor with `baseline_table` = week-1 snapshot, granularity 1 day. Azure ML: on the deployment, enable data collection; create a model monitor with the Data drift signal and a baseline dataset; set alert notification. Screenshot the drift chart.</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L10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2026-09-11T11:32:11.940Z</dcterms:created>
  <dcterms:modified xsi:type="dcterms:W3CDTF">2026-09-11T11:32:11.940Z</dcterms:modified>
</cp:coreProperties>
</file>

<file path=docProps/custom.xml><?xml version="1.0" encoding="utf-8"?>
<Properties xmlns="http://schemas.openxmlformats.org/officeDocument/2006/custom-properties" xmlns:vt="http://schemas.openxmlformats.org/officeDocument/2006/docPropsVTypes"/>
</file>