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L11 · OBJECTIVE 14</w:t>
      </w:r>
    </w:p>
    <w:p>
      <w:pPr>
        <w:spacing w:after="70"/>
      </w:pPr>
      <w:r>
        <w:rPr>
          <w:rFonts w:ascii="Cambria" w:cs="Cambria" w:eastAsia="Cambria" w:hAnsi="Cambria"/>
          <w:b/>
          <w:bCs/>
          <w:color w:val="21295C"/>
          <w:sz w:val="40"/>
          <w:szCs w:val="40"/>
        </w:rPr>
        <w:t xml:space="preserve">L11 — Distributed serving: tensor parallel &amp; autoscaling on Ray</w:t>
      </w:r>
    </w:p>
    <w:p>
      <w:pPr>
        <w:pBdr>
          <w:bottom w:val="single" w:color="E0A800" w:sz="12" w:space="4"/>
        </w:pBdr>
        <w:spacing w:after="180"/>
      </w:pPr>
      <w:r>
        <w:rPr>
          <w:rFonts w:ascii="Calibri" w:cs="Calibri" w:eastAsia="Calibri" w:hAnsi="Calibri"/>
          <w:i/>
          <w:iCs/>
          <w:color w:val="065A82"/>
          <w:sz w:val="22"/>
          <w:szCs w:val="22"/>
        </w:rPr>
        <w:t xml:space="preserve">Shard a matmul by hand to see tensor parallelism; serve Gemma 4 31B with TP=4 via vLLM on Ray-on-Databricks; simulate autoscaling and a node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Standard_NC96ads_A100_v4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labs/L11/L11_lab.ipynb (starter) · L11_solution.ipynb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Sharded matmul equals full within 1e-6; autoscaler simulation keeps p95 queue time under the SLA; TP=4 endpoint survives a simulated worker loss.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Saturday-morning and Christmas peak scaling for the customer assistant · Two-replica availability for the store-ops assistant in trading hours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Tensor parallelism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TP splits a weight matrix across GPUs. Column-parallel: each GPU computes part of the output columns, then concatenate. Row-parallel: each GPU holds part of the input dimension, then all-reduce (sum). Do both and prove they equal the unsharded matmul.</w:t>
      </w:r>
    </w:p>
    <w:p>
      <w:pPr>
        <w:pStyle w:val="Heading3"/>
        <w:spacing w:after="60" w:before="140"/>
      </w:pPr>
      <w:r>
        <w:rPr>
          <w:rFonts w:ascii="Cambria" w:cs="Cambria" w:eastAsia="Cambria" w:hAnsi="Cambria"/>
          <w:b/>
          <w:bCs/>
          <w:color w:val="1C7293"/>
          <w:sz w:val="23"/>
          <w:szCs w:val="23"/>
        </w:rPr>
        <w:t xml:space="preserve">Step 2 — What TP costs: the all-reduce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row-parallel needs a sum across GPUs every layer — that is why NVLink SKUs matter (L01). Count the communication volume per layer for the 8×4096 activation and compare it to the compute saved.</w:t>
      </w:r>
    </w:p>
    <w:p>
      <w:pPr>
        <w:pStyle w:val="Heading3"/>
        <w:spacing w:after="60" w:before="140"/>
      </w:pPr>
      <w:r>
        <w:rPr>
          <w:rFonts w:ascii="Cambria" w:cs="Cambria" w:eastAsia="Cambria" w:hAnsi="Cambria"/>
          <w:b/>
          <w:bCs/>
          <w:color w:val="1C7293"/>
          <w:sz w:val="23"/>
          <w:szCs w:val="23"/>
        </w:rPr>
        <w:t xml:space="preserve">Step 3 — Autoscaling simulation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before touching a real autoscaler, simulate one. Arrivals follow a daily curve; each replica serves `cap` requests/s; scale up when queue p95 exceeds the SLA, scale down when utilisation is low, with a minimum of 2 replicas for HA. At minute 300 a replica dies.</w:t>
      </w:r>
    </w:p>
    <w:p>
      <w:pPr>
        <w:pStyle w:val="Heading3"/>
        <w:spacing w:after="60" w:before="140"/>
      </w:pPr>
      <w:r>
        <w:rPr>
          <w:rFonts w:ascii="Cambria" w:cs="Cambria" w:eastAsia="Cambria" w:hAnsi="Cambria"/>
          <w:b/>
          <w:bCs/>
          <w:color w:val="1C7293"/>
          <w:sz w:val="23"/>
          <w:szCs w:val="23"/>
        </w:rPr>
        <w:t xml:space="preserve">Step 4 — Real TP=4 serving on Ray-on-Databricks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`ray.util.spark.setup_ray_cluster` starts Ray across Databricks workers; vLLM with `--tensor-parallel-size 4` shards Gemma 4 31B over the 4 A100s. Then kill one worker process and watch Ray Serve reschedule. Exact flags/APIs are version-sensitive — lab guide §Step 4.</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`from ray.util.spark import setup_ray_cluster; setup_ray_cluster(num_worker_nodes=1, num_gpus_worker_node=4)`; `ray.init()`; `vllm serve google/gemma-4-31b-it --tensor-parallel-size 4 --distributed-executor-backend ray`. Run L03 harness at concurrency 32. Simulate loss: `ray.kill` a worker actor or restart the worker VM from the cluster UI; record seconds until `/v1/models` answers again. Flag names are version-sensitive.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L11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2026-09-11T11:32:11.968Z</dcterms:created>
  <dcterms:modified xsi:type="dcterms:W3CDTF">2026-09-11T11:32:11.968Z</dcterms:modified>
</cp:coreProperties>
</file>

<file path=docProps/custom.xml><?xml version="1.0" encoding="utf-8"?>
<Properties xmlns="http://schemas.openxmlformats.org/officeDocument/2006/custom-properties" xmlns:vt="http://schemas.openxmlformats.org/officeDocument/2006/docPropsVTypes"/>
</file>