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L17 · OBJECTIVE 2, 4, 15</w:t>
      </w:r>
    </w:p>
    <w:p>
      <w:pPr>
        <w:spacing w:after="70"/>
      </w:pPr>
      <w:r>
        <w:rPr>
          <w:rFonts w:ascii="Cambria" w:cs="Cambria" w:eastAsia="Cambria" w:hAnsi="Cambria"/>
          <w:b/>
          <w:bCs/>
          <w:color w:val="21295C"/>
          <w:sz w:val="40"/>
          <w:szCs w:val="40"/>
        </w:rPr>
        <w:t xml:space="preserve">L17 — Token economics, model routing and capacity planning</w:t>
      </w:r>
    </w:p>
    <w:p>
      <w:pPr>
        <w:pBdr>
          <w:bottom w:val="single" w:color="E0A800" w:sz="12" w:space="4"/>
        </w:pBdr>
        <w:spacing w:after="180"/>
      </w:pPr>
      <w:r>
        <w:rPr>
          <w:rFonts w:ascii="Calibri" w:cs="Calibri" w:eastAsia="Calibri" w:hAnsi="Calibri"/>
          <w:i/>
          <w:iCs/>
          <w:color w:val="065A82"/>
          <w:sz w:val="22"/>
          <w:szCs w:val="22"/>
        </w:rPr>
        <w:t xml:space="preserve">Cost per conversation for hosted, self-hosted and routed serving; break-even GPU utilisation; a small-model-first routing policy; and a replica plan from the Saturday and Christmas arrival curve — all formula-driven from measured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1.5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labs/L17/L17_lab.ipynb (starter) · L17_solution.ipynb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cost per conversation for three serving options; break-even utilisation found; routing 80% simple traffic cuts cost &gt;60%; replica plan grows with the arrival curve.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Cost per resolved customer conversation for the finance review · GPU replica plan for Saturday and holiday peaks · Routing policy between a small self-hosted model and a hosted frontier model</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Conversation token profile from the request mix</w:t>
      </w:r>
    </w:p>
    <w:p>
      <w:pPr>
        <w:pStyle w:val="Heading3"/>
        <w:spacing w:after="60" w:before="140"/>
      </w:pPr>
      <w:r>
        <w:rPr>
          <w:rFonts w:ascii="Cambria" w:cs="Cambria" w:eastAsia="Cambria" w:hAnsi="Cambria"/>
          <w:b/>
          <w:bCs/>
          <w:color w:val="1C7293"/>
          <w:sz w:val="23"/>
          <w:szCs w:val="23"/>
        </w:rPr>
        <w:t xml:space="preserve">Step 2 — Hosted cost per conversation</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prices are placeholders; use the provider's list on the day.</w:t>
      </w:r>
    </w:p>
    <w:p>
      <w:pPr>
        <w:pStyle w:val="Heading3"/>
        <w:spacing w:after="60" w:before="140"/>
      </w:pPr>
      <w:r>
        <w:rPr>
          <w:rFonts w:ascii="Cambria" w:cs="Cambria" w:eastAsia="Cambria" w:hAnsi="Cambria"/>
          <w:b/>
          <w:bCs/>
          <w:color w:val="1C7293"/>
          <w:sz w:val="23"/>
          <w:szCs w:val="23"/>
        </w:rPr>
        <w:t xml:space="preserve">Step 3 — Self-hosted cost per conversation and break-even utilisation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GPU costs the same idle or busy. Cost per conversation = GPU $/hr ÷ conversations per hour at the utilisation you actually achieve.</w:t>
      </w:r>
    </w:p>
    <w:p>
      <w:pPr>
        <w:pStyle w:val="Heading3"/>
        <w:spacing w:after="60" w:before="140"/>
      </w:pPr>
      <w:r>
        <w:rPr>
          <w:rFonts w:ascii="Cambria" w:cs="Cambria" w:eastAsia="Cambria" w:hAnsi="Cambria"/>
          <w:b/>
          <w:bCs/>
          <w:color w:val="1C7293"/>
          <w:sz w:val="23"/>
          <w:szCs w:val="23"/>
        </w:rPr>
        <w:t xml:space="preserve">Step 4 — Routing policy: small model first, frontier for the hard 20%</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most shopping questions are simple (stock, aisle, price). Route by a cheap classifier; escalate the rest. Compute blended cost.</w:t>
      </w:r>
    </w:p>
    <w:p>
      <w:pPr>
        <w:pStyle w:val="Heading3"/>
        <w:spacing w:after="60" w:before="140"/>
      </w:pPr>
      <w:r>
        <w:rPr>
          <w:rFonts w:ascii="Cambria" w:cs="Cambria" w:eastAsia="Cambria" w:hAnsi="Cambria"/>
          <w:b/>
          <w:bCs/>
          <w:color w:val="1C7293"/>
          <w:sz w:val="23"/>
          <w:szCs w:val="23"/>
        </w:rPr>
        <w:t xml:space="preserve">Step 5 — Capacity plan for the peak</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replicas are sized on the arrival curve, not the average. Saturday 10:00 ≈ 4× Tuesday 15:00; Christmas week ≈ 2× a normal Saturday.</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Replace PLACEHOLDER rates with the provider's current price list and `measured_tok_s` with the L03 harness result at target concurrency on the chosen SKU; keep the formulas.</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45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L17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2026-09-11T11:32:12.134Z</dcterms:created>
  <dcterms:modified xsi:type="dcterms:W3CDTF">2026-09-11T11:32:12.134Z</dcterms:modified>
</cp:coreProperties>
</file>

<file path=docProps/custom.xml><?xml version="1.0" encoding="utf-8"?>
<Properties xmlns="http://schemas.openxmlformats.org/officeDocument/2006/custom-properties" xmlns:vt="http://schemas.openxmlformats.org/officeDocument/2006/docPropsVTypes"/>
</file>