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L01 · OBJECTIVE 1, 2</w:t>
      </w:r>
    </w:p>
    <w:p>
      <w:pPr>
        <w:spacing w:after="70"/>
      </w:pPr>
      <w:r>
        <w:rPr>
          <w:rFonts w:ascii="Cambria" w:cs="Cambria" w:eastAsia="Cambria" w:hAnsi="Cambria"/>
          <w:b/>
          <w:bCs/>
          <w:color w:val="21295C"/>
          <w:sz w:val="40"/>
          <w:szCs w:val="40"/>
        </w:rPr>
        <w:t xml:space="preserve">L01 — Platform baseline &amp; GPU sizing</w:t>
      </w:r>
    </w:p>
    <w:p>
      <w:pPr>
        <w:pBdr>
          <w:bottom w:val="single" w:color="E0A800" w:sz="12" w:space="4"/>
        </w:pBdr>
        <w:spacing w:after="180"/>
      </w:pPr>
      <w:r>
        <w:rPr>
          <w:rFonts w:ascii="Calibri" w:cs="Calibri" w:eastAsia="Calibri" w:hAnsi="Calibri"/>
          <w:i/>
          <w:iCs/>
          <w:color w:val="065A82"/>
          <w:sz w:val="22"/>
          <w:szCs w:val="22"/>
        </w:rPr>
        <w:t xml:space="preserve">Stand up the two lab platforms, read GPU telemetry, and size memory for dense, MoE and encoder workloads before touching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≈0.75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labs/L01/L01_lab.ipynb (starter) · L01_solution.ipynb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Memory-fit calculator returns the correct GPU count for all 4 planted workloads; nvidia-smi parser passes on the provided sample.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Sizing the GPU fleet for the customer assistant ahead of the holiday peak · A100 vs H100 for the store-ops assistant under a handheld TTFT target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Read GPU telemetry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later lab starts from "how much memory do I actually have?". `nvidia-smi --query-gpu` gives a CSV we parse rather than eyeball.</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on GPU compute we run the real command; in SMOKE mode we parse the provided sample so the parser is tested either way.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GPU mode runs `nvidia-smi --query-gpu=... --format=csv` directly; confirm one A100 80GB appears. On Databricks the driver node is the only node on a single-node cluster.</w:t>
      </w:r>
    </w:p>
    <w:p>
      <w:pPr>
        <w:pStyle w:val="Heading3"/>
        <w:spacing w:after="60" w:before="140"/>
      </w:pPr>
      <w:r>
        <w:rPr>
          <w:rFonts w:ascii="Cambria" w:cs="Cambria" w:eastAsia="Cambria" w:hAnsi="Cambria"/>
          <w:b/>
          <w:bCs/>
          <w:color w:val="1C7293"/>
          <w:sz w:val="23"/>
          <w:szCs w:val="23"/>
        </w:rPr>
        <w:t xml:space="preserve">Step 2 — Confirm the platform identity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same notebook runs on Azure ML and Databricks; later labs branch on this. On Databricks `DATABRICKS_RUNTIME_VERSION` exists; on Azure ML compute instances `AZUREML_*`/`CI_NAME` variables exist.</w:t>
      </w:r>
    </w:p>
    <w:p>
      <w:pPr>
        <w:pStyle w:val="Heading3"/>
        <w:spacing w:after="60" w:before="140"/>
      </w:pPr>
      <w:r>
        <w:rPr>
          <w:rFonts w:ascii="Cambria" w:cs="Cambria" w:eastAsia="Cambria" w:hAnsi="Cambria"/>
          <w:b/>
          <w:bCs/>
          <w:color w:val="1C7293"/>
          <w:sz w:val="23"/>
          <w:szCs w:val="23"/>
        </w:rPr>
        <w:t xml:space="preserve">Step 3 — Memory-fit calculator (weights + KV cache)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single most common LLMOps failure is an OOM at deploy time. Weights are only part of the story: the KV cache grows with `batch × context × layers × 2 × (kv_heads × head_dim) × bytes`.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formula, then apply it to four planted workloads (dense 31B-class, MoE 26B/4B-active-class, an encoder classifier, and a long-context dense model).</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MoE models still need **all** expert weights resident — active parameters reduce compute, not memory.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Dense 31B bf16: weights 62 GB; KV = 2×60×8×128×2 B×8192×8 = 16.1 GB; total ×1.1 = 85.9 GB → 2× A100-80GB at 90 % usable. Have participants reproduce this on paper before running the cell.</w:t>
      </w:r>
    </w:p>
    <w:p>
      <w:pPr>
        <w:pStyle w:val="Heading3"/>
        <w:spacing w:after="60" w:before="140"/>
      </w:pPr>
      <w:r>
        <w:rPr>
          <w:rFonts w:ascii="Cambria" w:cs="Cambria" w:eastAsia="Cambria" w:hAnsi="Cambria"/>
          <w:b/>
          <w:bCs/>
          <w:color w:val="1C7293"/>
          <w:sz w:val="23"/>
          <w:szCs w:val="23"/>
        </w:rPr>
        <w:t xml:space="preserve">Step 4 — Compare GPUs by workload attribute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memory decides feasibility; interconnect and compute decide cost per token. The table is built from the SKU sheet in `content.py` so it stays in sync with the cost workbook.</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prices are approximate, region-specific and change monthly — the workbook holds the editable anchor.</w:t>
      </w:r>
    </w:p>
    <w:p>
      <w:pPr>
        <w:pStyle w:val="Heading3"/>
        <w:spacing w:after="60" w:before="140"/>
      </w:pPr>
      <w:r>
        <w:rPr>
          <w:rFonts w:ascii="Cambria" w:cs="Cambria" w:eastAsia="Cambria" w:hAnsi="Cambria"/>
          <w:b/>
          <w:bCs/>
          <w:color w:val="1C7293"/>
          <w:sz w:val="23"/>
          <w:szCs w:val="23"/>
        </w:rPr>
        <w:t xml:space="preserve">Step 5 — Write the decision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deliverable is a defensible choice per workload, not a table. One line each: the constraint that decided it.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L01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2026-09-12T08:25:12.720Z</dcterms:created>
  <dcterms:modified xsi:type="dcterms:W3CDTF">2026-09-12T08:25:12.720Z</dcterms:modified>
</cp:coreProperties>
</file>

<file path=docProps/custom.xml><?xml version="1.0" encoding="utf-8"?>
<Properties xmlns="http://schemas.openxmlformats.org/officeDocument/2006/custom-properties" xmlns:vt="http://schemas.openxmlformats.org/officeDocument/2006/docPropsVTypes"/>
</file>