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L02 · OBJECTIVE 3</w:t>
      </w:r>
    </w:p>
    <w:p>
      <w:pPr>
        <w:spacing w:after="70"/>
      </w:pPr>
      <w:r>
        <w:rPr>
          <w:rFonts w:ascii="Cambria" w:cs="Cambria" w:eastAsia="Cambria" w:hAnsi="Cambria"/>
          <w:b/>
          <w:bCs/>
          <w:color w:val="21295C"/>
          <w:sz w:val="40"/>
          <w:szCs w:val="40"/>
        </w:rPr>
        <w:t xml:space="preserve">L02 — Shipping formats: safetensors, AWQ/GPTQ, GGUF, ONNX</w:t>
      </w:r>
    </w:p>
    <w:p>
      <w:pPr>
        <w:pBdr>
          <w:bottom w:val="single" w:color="E0A800" w:sz="12" w:space="4"/>
        </w:pBdr>
        <w:spacing w:after="180"/>
      </w:pPr>
      <w:r>
        <w:rPr>
          <w:rFonts w:ascii="Calibri" w:cs="Calibri" w:eastAsia="Calibri" w:hAnsi="Calibri"/>
          <w:i/>
          <w:iCs/>
          <w:color w:val="065A82"/>
          <w:sz w:val="22"/>
          <w:szCs w:val="22"/>
        </w:rPr>
        <w:t xml:space="preserve">Convert a Gemma 4 checkpoint through the shipping formats and measure size vs quality; hand-roll group-wise quantisation first so the trade-off is understood, not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≈1.25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labs/L02/L02_lab.ipynb (starter) · L02_solution.ipynb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Hand-rolled int4 group quantiser reconstructs within tolerance; ONNX export round-trips; format table produced from measured sizes.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Compact model on store handhelds for offline product look-ups (GGUF) · Shrinking the A100 footprint of the nightly supplier-sheet extraction job (AWQ) · Taxonomy classifier shipped as ONNX inside the PIM pipeline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1 GPU-only step(s) deferred;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Hand-roll group-wise weight quantisation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AWQ and GPTQ are both "group-wise int4 with a per-group scale, plus a cleverer choice of which weights to protect". If you can write the plain version you can read their papers.</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quantise a weight matrix in groups of 128 along the input dimension with a symmetric scale, dequantise, and measure relative error.</w:t>
      </w:r>
    </w:p>
    <w:p>
      <w:pPr>
        <w:pStyle w:val="Heading3"/>
        <w:spacing w:after="60" w:before="140"/>
      </w:pPr>
      <w:r>
        <w:rPr>
          <w:rFonts w:ascii="Cambria" w:cs="Cambria" w:eastAsia="Cambria" w:hAnsi="Cambria"/>
          <w:b/>
          <w:bCs/>
          <w:color w:val="1C7293"/>
          <w:sz w:val="23"/>
          <w:szCs w:val="23"/>
        </w:rPr>
        <w:t xml:space="preserve">Step 2 — Why group size and outliers matter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single outlier weight blows up the scale for its whole group; that is the problem AWQ (activation-aware scaling) and GPTQ (error-compensating rounding) solve differently.</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plant one outlier and watch group-256 error rise; shrink the group and watch it fall — the price of smaller groups is more scale values to store.</w:t>
      </w:r>
    </w:p>
    <w:p>
      <w:pPr>
        <w:pStyle w:val="Heading3"/>
        <w:spacing w:after="60" w:before="140"/>
      </w:pPr>
      <w:r>
        <w:rPr>
          <w:rFonts w:ascii="Cambria" w:cs="Cambria" w:eastAsia="Cambria" w:hAnsi="Cambria"/>
          <w:b/>
          <w:bCs/>
          <w:color w:val="1C7293"/>
          <w:sz w:val="23"/>
          <w:szCs w:val="23"/>
        </w:rPr>
        <w:t xml:space="preserve">Step 3 — ONNX export round-trip (encoder-style classifier)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ONNX is the format the catalog-NLP team ships encoder classifiers in (L08). Prove an export reproduces the source model's predictions before trusting any converter.</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in SMOKE mode export a scikit-learn model with `skl2onnx` and run it in `onnxruntime`; in GPU mode swap in the `transformers` → `optimum` export of the RoBERTa-class model (lab guide §Step 3).</w:t>
      </w:r>
    </w:p>
    <w:p>
      <w:pPr>
        <w:pStyle w:val="Heading3"/>
        <w:spacing w:after="60" w:before="140"/>
      </w:pPr>
      <w:r>
        <w:rPr>
          <w:rFonts w:ascii="Cambria" w:cs="Cambria" w:eastAsia="Cambria" w:hAnsi="Cambria"/>
          <w:b/>
          <w:bCs/>
          <w:color w:val="1C7293"/>
          <w:sz w:val="23"/>
          <w:szCs w:val="23"/>
        </w:rPr>
        <w:t xml:space="preserve">Step 4 — Real model: safetensors → AWQ → GGUF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same measurement discipline on Gemma 4 E4B. Each converter is a separate library with its own version drift — pin versions in the cluster init script (lab guide §Setup).</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download the checkpoint (safetensors), quantise with AutoAWQ, convert to GGUF with llama.cpp's converter, record file sizes. Library APIs are version-sensitive: confirm signatures in the docs on the day.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`hf download google/gemma-4-e4b-it --local-dir /local_disk0/gemma4` (verify model id). AWQ: `from awq import AutoAWQForCausalLM` → `quantize(tokenizer, quant_config={'w_bit':4,'q_group_size':128,'zero_point':True,'version':'GEMM'})` → `save_quantized`. GGUF: clone llama.cpp, `python convert_hf_to_gguf.py /local_disk0/gemma4 --outtype q4_k_m --outfile gemma4.gguf` (script name and `--outtype` values are version-sensitive). Record `ls -l` sizes into `sizes`.</w:t>
      </w:r>
    </w:p>
    <w:p>
      <w:pPr>
        <w:pStyle w:val="Heading3"/>
        <w:spacing w:after="60" w:before="140"/>
      </w:pPr>
      <w:r>
        <w:rPr>
          <w:rFonts w:ascii="Cambria" w:cs="Cambria" w:eastAsia="Cambria" w:hAnsi="Cambria"/>
          <w:b/>
          <w:bCs/>
          <w:color w:val="1C7293"/>
          <w:sz w:val="23"/>
          <w:szCs w:val="23"/>
        </w:rPr>
        <w:t xml:space="preserve">Step 5 — Quality check per format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size without quality is meaningless. Run the same 50-prompt eval (from `eval_prompts.jsonl`) against each format's serving path and record exact-match on the attribute-extraction task.</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Serve each artefact: safetensors and AWQ via `vllm serve &lt;path&gt; --quantization awq` (for AWQ); GGUF via `llama-server -m gemma4.gguf`. Run the 50 eval prompts through each with temperature 0 and compute exact-match with the provided function.</w:t>
      </w:r>
    </w:p>
    <w:p>
      <w:pPr>
        <w:pStyle w:val="Heading3"/>
        <w:spacing w:after="60" w:before="140"/>
      </w:pPr>
      <w:r>
        <w:rPr>
          <w:rFonts w:ascii="Cambria" w:cs="Cambria" w:eastAsia="Cambria" w:hAnsi="Cambria"/>
          <w:b/>
          <w:bCs/>
          <w:color w:val="1C7293"/>
          <w:sz w:val="23"/>
          <w:szCs w:val="23"/>
        </w:rPr>
        <w:t xml:space="preserve">Step 6 — The format table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team decides which format ships where — edge (GGUF), GPU serving (AWQ/safetensors), CPU batch (ONNX). The numbers are yours, not a vendor's.</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L02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2026-09-12T08:25:12.755Z</dcterms:created>
  <dcterms:modified xsi:type="dcterms:W3CDTF">2026-09-12T08:25:12.755Z</dcterms:modified>
</cp:coreProperties>
</file>

<file path=docProps/custom.xml><?xml version="1.0" encoding="utf-8"?>
<Properties xmlns="http://schemas.openxmlformats.org/officeDocument/2006/custom-properties" xmlns:vt="http://schemas.openxmlformats.org/officeDocument/2006/docPropsVTypes"/>
</file>