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alibri" w:cs="Calibri" w:eastAsia="Calibri" w:hAnsi="Calibri"/>
          <w:b/>
          <w:bCs/>
          <w:color w:val="1C7293"/>
          <w:sz w:val="18"/>
          <w:szCs w:val="18"/>
        </w:rPr>
        <w:t xml:space="preserve">LAB GUIDE · L03 · OBJECTIVE 4</w:t>
      </w:r>
    </w:p>
    <w:p>
      <w:pPr>
        <w:spacing w:after="70"/>
      </w:pPr>
      <w:r>
        <w:rPr>
          <w:rFonts w:ascii="Cambria" w:cs="Cambria" w:eastAsia="Cambria" w:hAnsi="Cambria"/>
          <w:b/>
          <w:bCs/>
          <w:color w:val="21295C"/>
          <w:sz w:val="40"/>
          <w:szCs w:val="40"/>
        </w:rPr>
        <w:t xml:space="preserve">L03 — Serving bake-off: vLLM vs TensorRT-LLM vs SGLang</w:t>
      </w:r>
    </w:p>
    <w:p>
      <w:pPr>
        <w:pBdr>
          <w:bottom w:val="single" w:color="E0A800" w:sz="12" w:space="4"/>
        </w:pBdr>
        <w:spacing w:after="180"/>
      </w:pPr>
      <w:r>
        <w:rPr>
          <w:rFonts w:ascii="Calibri" w:cs="Calibri" w:eastAsia="Calibri" w:hAnsi="Calibri"/>
          <w:i/>
          <w:iCs/>
          <w:color w:val="065A82"/>
          <w:sz w:val="22"/>
          <w:szCs w:val="22"/>
        </w:rPr>
        <w:t xml:space="preserve">Serve the same Gemma model on three engines and benchmark throughput, TTFT p50/p95 and cold start with a harness you built and validated against a mock server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Field</w:t>
            </w:r>
          </w:p>
        </w:tc>
        <w:tc>
          <w:tcPr>
            <w:tcW w:type="dxa" w:w="69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Value</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Platform</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Both</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Compute SKU</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Standard_NC24ads_A100_v4</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Duration</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2.5 h (of which ≈2 GPU-hours)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Files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labs/L03/L03_lab.ipynb (starter) · L03_solution.ipynb · data/ folder</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Done means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Harness metrics match analytic values on the mock server; decision memo table has the team's own numbers at 3 concurrency levels.</w:t>
            </w:r>
          </w:p>
        </w:tc>
      </w:tr>
      <w:tr>
        <w:tc>
          <w:tcPr>
            <w:tcW w:type="dxa" w:w="24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Industry use cases</w:t>
            </w:r>
          </w:p>
        </w:tc>
        <w:tc>
          <w:tcPr>
            <w:tcW w:type="dxa" w:w="69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Engine choice for the customer assistant under a p95 TTFT SLA at weekend peak · Whether a TensorRT-LLM engine build is worth it for the long-lived store-ops model</w:t>
            </w:r>
          </w:p>
        </w:tc>
      </w:tr>
      <w:tr>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Build test status</w:t>
            </w:r>
          </w:p>
        </w:tc>
        <w:tc>
          <w:tcPr>
            <w:tcW w:type="dxa" w:w="69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Executed in SMOKE mode: 3 checks PASS, 1 GPU-only step(s) deferred; starter compiles</w:t>
            </w:r>
          </w:p>
        </w:tc>
      </w:tr>
    </w:tbl>
    <w:p>
      <w:pPr>
        <w:spacing w:after="60"/>
      </w:pPr>
      <w:r>
        <w:rPr>
          <w:rFonts w:ascii="Calibri" w:cs="Calibri" w:eastAsia="Calibri" w:hAnsi="Calibri"/>
          <w:sz w:val="22"/>
          <w:szCs w:val="22"/>
        </w:rPr>
        <w:t xml:space="preserve"/>
      </w:r>
    </w:p>
    <w:p>
      <w:pPr>
        <w:pStyle w:val="Heading1"/>
        <w:spacing w:after="130" w:before="300"/>
      </w:pPr>
      <w:r>
        <w:rPr>
          <w:rFonts w:ascii="Cambria" w:cs="Cambria" w:eastAsia="Cambria" w:hAnsi="Cambria"/>
          <w:b/>
          <w:bCs/>
          <w:color w:val="21295C"/>
          <w:sz w:val="30"/>
          <w:szCs w:val="30"/>
        </w:rPr>
        <w:t xml:space="preserve">1. Before you start</w:t>
      </w:r>
    </w:p>
    <w:p>
      <w:pPr>
        <w:pStyle w:val="ListParagraph"/>
        <w:numPr>
          <w:ilvl w:val="0"/>
          <w:numId w:val="2"/>
        </w:numPr>
        <w:spacing w:after="60"/>
      </w:pPr>
      <w:r>
        <w:rPr>
          <w:rFonts w:ascii="Calibri" w:cs="Calibri" w:eastAsia="Calibri" w:hAnsi="Calibri"/>
          <w:sz w:val="22"/>
          <w:szCs w:val="22"/>
        </w:rPr>
        <w:t xml:space="preserve">Open the starter notebook on the compute named above; confirm the header cell prints LAB_MODE=GPU (on a GPU node) and finds DATA_DIR.</w:t>
      </w:r>
    </w:p>
    <w:p>
      <w:pPr>
        <w:pStyle w:val="ListParagraph"/>
        <w:numPr>
          <w:ilvl w:val="0"/>
          <w:numId w:val="2"/>
        </w:numPr>
        <w:spacing w:after="60"/>
      </w:pPr>
      <w:r>
        <w:rPr>
          <w:rFonts w:ascii="Calibri" w:cs="Calibri" w:eastAsia="Calibri" w:hAnsi="Calibri"/>
          <w:sz w:val="22"/>
          <w:szCs w:val="22"/>
        </w:rPr>
        <w:t xml:space="preserve">Every code cell that ends with check(...) is an acceptance test: it prints PASS or stops the notebook. Do not edit the check lines.</w:t>
      </w:r>
    </w:p>
    <w:p>
      <w:pPr>
        <w:pStyle w:val="ListParagraph"/>
        <w:numPr>
          <w:ilvl w:val="0"/>
          <w:numId w:val="2"/>
        </w:numPr>
        <w:spacing w:after="60"/>
      </w:pPr>
      <w:r>
        <w:rPr>
          <w:rFonts w:ascii="Calibri" w:cs="Calibri" w:eastAsia="Calibri" w:hAnsi="Calibri"/>
          <w:sz w:val="22"/>
          <w:szCs w:val="22"/>
        </w:rPr>
        <w:t xml:space="preserve">TODO blocks in the starter carry a one-line hint. The solution notebook is released after the session — attempt first.</w:t>
      </w:r>
    </w:p>
    <w:p>
      <w:pPr>
        <w:pStyle w:val="Heading1"/>
        <w:spacing w:after="130" w:before="300"/>
      </w:pPr>
      <w:r>
        <w:rPr>
          <w:rFonts w:ascii="Cambria" w:cs="Cambria" w:eastAsia="Cambria" w:hAnsi="Cambria"/>
          <w:b/>
          <w:bCs/>
          <w:color w:val="21295C"/>
          <w:sz w:val="30"/>
          <w:szCs w:val="30"/>
        </w:rPr>
        <w:t xml:space="preserve">2. Steps</w:t>
      </w:r>
    </w:p>
    <w:p>
      <w:pPr>
        <w:spacing w:after="110"/>
      </w:pPr>
      <w:r>
        <w:rPr>
          <w:rFonts w:ascii="Calibri" w:cs="Calibri" w:eastAsia="Calibri" w:hAnsi="Calibri"/>
          <w:sz w:val="22"/>
          <w:szCs w:val="22"/>
        </w:rPr>
        <w:t xml:space="preserve">Each step below mirrors a section of the notebook. "Why" is the concept, "What" is the task, "Watch" is the common mistake.</w:t>
      </w:r>
    </w:p>
    <w:p>
      <w:pPr>
        <w:pStyle w:val="Heading3"/>
        <w:spacing w:after="60" w:before="140"/>
      </w:pPr>
      <w:r>
        <w:rPr>
          <w:rFonts w:ascii="Cambria" w:cs="Cambria" w:eastAsia="Cambria" w:hAnsi="Cambria"/>
          <w:b/>
          <w:bCs/>
          <w:color w:val="1C7293"/>
          <w:sz w:val="23"/>
          <w:szCs w:val="23"/>
        </w:rPr>
        <w:t xml:space="preserve">Step 1 — Load the request mix</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benchmark numbers are only comparable if every engine sees the same prompts. `request_mix.jsonl` is 500 (prompt_tokens, max_new) pairs shaped like the ad-copy workload.</w:t>
      </w:r>
    </w:p>
    <w:p>
      <w:pPr>
        <w:pStyle w:val="Heading3"/>
        <w:spacing w:after="60" w:before="140"/>
      </w:pPr>
      <w:r>
        <w:rPr>
          <w:rFonts w:ascii="Cambria" w:cs="Cambria" w:eastAsia="Cambria" w:hAnsi="Cambria"/>
          <w:b/>
          <w:bCs/>
          <w:color w:val="1C7293"/>
          <w:sz w:val="23"/>
          <w:szCs w:val="23"/>
        </w:rPr>
        <w:t xml:space="preserve">Step 2 — Build the async benchmark harness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TTFT and throughput must be measured under concurrency, streaming, with the first token timestamped separately. A harness that is wrong by one `await` gives wrong engine rankings.</w:t>
      </w:r>
    </w:p>
    <w:p>
      <w:pPr>
        <w:spacing w:after="110"/>
      </w:pPr>
      <w:r>
        <w:rPr>
          <w:rFonts w:ascii="Calibri" w:cs="Calibri" w:eastAsia="Calibri" w:hAnsi="Calibri"/>
          <w:b/>
          <w:bCs/>
          <w:color w:val="065A82"/>
          <w:sz w:val="22"/>
          <w:szCs w:val="22"/>
        </w:rPr>
        <w:t xml:space="preserve">What: </w:t>
      </w:r>
      <w:r>
        <w:rPr>
          <w:rFonts w:ascii="Calibri" w:cs="Calibri" w:eastAsia="Calibri" w:hAnsi="Calibri"/>
          <w:sz w:val="22"/>
          <w:szCs w:val="22"/>
        </w:rPr>
        <w:t xml:space="preserve">`run_benchmark(send, reqs, concurrency)` takes an async `send(req) -&gt; async iterator of tokens`, drives it with a semaphore, and returns per-request TTFT and total time.</w:t>
      </w:r>
    </w:p>
    <w:p>
      <w:pPr>
        <w:pStyle w:val="Heading3"/>
        <w:spacing w:after="60" w:before="140"/>
      </w:pPr>
      <w:r>
        <w:rPr>
          <w:rFonts w:ascii="Cambria" w:cs="Cambria" w:eastAsia="Cambria" w:hAnsi="Cambria"/>
          <w:b/>
          <w:bCs/>
          <w:color w:val="1C7293"/>
          <w:sz w:val="23"/>
          <w:szCs w:val="23"/>
        </w:rPr>
        <w:t xml:space="preserve">Step 3 — Validate the harness on a mock server with known latencies</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before pointing the harness at a real engine, prove it measures correctly. The mock yields its first token after exactly 50 ms and then one token per 5 ms, so TTFT p50 must be ≈50 ms and tokens/s ≈ concurrency × 200 (minus scheduling overhead).</w:t>
      </w:r>
    </w:p>
    <w:p>
      <w:pPr>
        <w:pStyle w:val="Heading3"/>
        <w:spacing w:after="60" w:before="140"/>
      </w:pPr>
      <w:r>
        <w:rPr>
          <w:rFonts w:ascii="Cambria" w:cs="Cambria" w:eastAsia="Cambria" w:hAnsi="Cambria"/>
          <w:b/>
          <w:bCs/>
          <w:color w:val="1C7293"/>
          <w:sz w:val="23"/>
          <w:szCs w:val="23"/>
        </w:rPr>
        <w:t xml:space="preserve">Step 4 — Point the harness at real engines (GPU cluster)</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vLLM, SGLang and TensorRT-LLM all expose an OpenAI-compatible `/v1/completions` streaming endpoint, so one `send` implementation covers all three. Start each server per lab guide §Step 4 (ports 8001/8002/8003), and note the cold-start and engine-build times by hand — they matter as much as throughput.</w:t>
      </w:r>
    </w:p>
    <w:p>
      <w:pPr>
        <w:spacing w:after="110"/>
      </w:pPr>
      <w:r>
        <w:rPr>
          <w:rFonts w:ascii="Calibri" w:cs="Calibri" w:eastAsia="Calibri" w:hAnsi="Calibri"/>
          <w:b/>
          <w:bCs/>
          <w:color w:val="065A82"/>
          <w:sz w:val="22"/>
          <w:szCs w:val="22"/>
        </w:rPr>
        <w:t xml:space="preserve">Watch: </w:t>
      </w:r>
      <w:r>
        <w:rPr>
          <w:rFonts w:ascii="Calibri" w:cs="Calibri" w:eastAsia="Calibri" w:hAnsi="Calibri"/>
          <w:sz w:val="22"/>
          <w:szCs w:val="22"/>
        </w:rPr>
        <w:t xml:space="preserve">SGLang's RadixAttention benefits from shared prefixes; use the same system prompt for every request or you will under-measure it.</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Start servers on separate ports (one at a time to keep GPU memory free): vLLM `vllm serve google/gemma-4-e4b-it --port 8001`; SGLang `python -m sglang.launch_server --model-path google/gemma-4-e4b-it --port 8002`; TensorRT-LLM: build the engine (`trtllm-build` or the PyTorch backend `trtllm-serve` — the CLI surface changed across 2025–26; use whichever the installed version documents) and serve on 8003. `pip install httpx` for the harness client.</w:t>
      </w:r>
    </w:p>
    <w:p>
      <w:pPr>
        <w:pStyle w:val="Heading3"/>
        <w:spacing w:after="60" w:before="140"/>
      </w:pPr>
      <w:r>
        <w:rPr>
          <w:rFonts w:ascii="Cambria" w:cs="Cambria" w:eastAsia="Cambria" w:hAnsi="Cambria"/>
          <w:b/>
          <w:bCs/>
          <w:color w:val="1C7293"/>
          <w:sz w:val="23"/>
          <w:szCs w:val="23"/>
        </w:rPr>
        <w:t xml:space="preserve">Step 5 — Record cold start and engine-build time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TensorRT-LLM's engine build is a one-off cost that can dominate for short-lived deployments; vLLM/SGLang start in about a minute. Time them with a stopwatch and record here — this is the number that decides the "single long-lived model" case.</w:t>
      </w:r>
    </w:p>
    <w:p>
      <w:pPr>
        <w:spacing w:after="110"/>
      </w:pPr>
      <w:r>
        <w:rPr>
          <w:rFonts w:ascii="Calibri" w:cs="Calibri" w:eastAsia="Calibri" w:hAnsi="Calibri"/>
          <w:b/>
          <w:bCs/>
          <w:color w:val="1C7293"/>
          <w:sz w:val="22"/>
          <w:szCs w:val="22"/>
        </w:rPr>
        <w:t xml:space="preserve">On the platform: </w:t>
      </w:r>
      <w:r>
        <w:rPr>
          <w:rFonts w:ascii="Calibri" w:cs="Calibri" w:eastAsia="Calibri" w:hAnsi="Calibri"/>
          <w:sz w:val="22"/>
          <w:szCs w:val="22"/>
        </w:rPr>
        <w:t xml:space="preserve">Stopwatch from process start to first successful `/v1/models` response = cold start. For TensorRT-LLM record engine-build time separately.</w:t>
      </w:r>
    </w:p>
    <w:p>
      <w:pPr>
        <w:pStyle w:val="Heading3"/>
        <w:spacing w:after="60" w:before="140"/>
      </w:pPr>
      <w:r>
        <w:rPr>
          <w:rFonts w:ascii="Cambria" w:cs="Cambria" w:eastAsia="Cambria" w:hAnsi="Cambria"/>
          <w:b/>
          <w:bCs/>
          <w:color w:val="1C7293"/>
          <w:sz w:val="23"/>
          <w:szCs w:val="23"/>
        </w:rPr>
        <w:t xml:space="preserve">Step 6 — Decision table (the deliverable)</w:t>
      </w:r>
    </w:p>
    <w:p>
      <w:pPr>
        <w:spacing w:after="110"/>
      </w:pPr>
      <w:r>
        <w:rPr>
          <w:rFonts w:ascii="Calibri" w:cs="Calibri" w:eastAsia="Calibri" w:hAnsi="Calibri"/>
          <w:b/>
          <w:bCs/>
          <w:color w:val="065A82"/>
          <w:sz w:val="22"/>
          <w:szCs w:val="22"/>
        </w:rPr>
        <w:t xml:space="preserve">Why: </w:t>
      </w:r>
      <w:r>
        <w:rPr>
          <w:rFonts w:ascii="Calibri" w:cs="Calibri" w:eastAsia="Calibri" w:hAnsi="Calibri"/>
          <w:sz w:val="22"/>
          <w:szCs w:val="22"/>
        </w:rPr>
        <w:t xml:space="preserve">one table, your numbers, three concurrency levels, plus the cold-start row. Write the recommendation under it in one sentence naming the constraint that decided it.</w:t>
      </w:r>
    </w:p>
    <w:p>
      <w:pPr>
        <w:pStyle w:val="Heading1"/>
        <w:spacing w:after="130" w:before="300"/>
      </w:pPr>
      <w:r>
        <w:rPr>
          <w:rFonts w:ascii="Cambria" w:cs="Cambria" w:eastAsia="Cambria" w:hAnsi="Cambria"/>
          <w:b/>
          <w:bCs/>
          <w:color w:val="21295C"/>
          <w:sz w:val="30"/>
          <w:szCs w:val="30"/>
        </w:rPr>
        <w:t xml:space="preserve">3. Version-sensitive items in this lab</w:t>
      </w:r>
    </w:p>
    <w:p>
      <w:pPr>
        <w:spacing w:after="110"/>
      </w:pPr>
      <w:r>
        <w:rPr>
          <w:rFonts w:ascii="Calibri" w:cs="Calibri" w:eastAsia="Calibri" w:hAnsi="Calibri"/>
          <w:i/>
          <w:iCs/>
          <w:sz w:val="22"/>
          <w:szCs w:val="22"/>
        </w:rPr>
        <w:t xml:space="preserve">Commands and API names quoted in the platform notes were correct as of the build date but change frequently. Before delivery run each GPU step on the pinned runtime and record library versions in the Facilitator Guide register.</w:t>
      </w:r>
    </w:p>
    <w:p>
      <w:pPr>
        <w:pStyle w:val="Heading1"/>
        <w:spacing w:after="130" w:before="300"/>
      </w:pPr>
      <w:r>
        <w:rPr>
          <w:rFonts w:ascii="Cambria" w:cs="Cambria" w:eastAsia="Cambria" w:hAnsi="Cambria"/>
          <w:b/>
          <w:bCs/>
          <w:color w:val="21295C"/>
          <w:sz w:val="30"/>
          <w:szCs w:val="30"/>
        </w:rPr>
        <w:t xml:space="preserve">4.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500"/>
        <w:gridCol w:w="4860"/>
      </w:tblGrid>
      <w:tr>
        <w:trPr>
          <w:tblHeader/>
        </w:trPr>
        <w:tc>
          <w:tcPr>
            <w:tcW w:type="dxa" w:w="30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Block</w:t>
            </w:r>
          </w:p>
        </w:tc>
        <w:tc>
          <w:tcPr>
            <w:tcW w:type="dxa" w:w="150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Minutes</w:t>
            </w:r>
          </w:p>
        </w:tc>
        <w:tc>
          <w:tcPr>
            <w:tcW w:type="dxa" w:w="4860"/>
            <w:tcBorders>
              <w:top w:val="single" w:color="BFBFBF" w:sz="4"/>
              <w:left w:val="single" w:color="BFBFBF" w:sz="4"/>
              <w:bottom w:val="single" w:color="BFBFBF" w:sz="4"/>
              <w:right w:val="single" w:color="BFBFBF" w:sz="4"/>
            </w:tcBorders>
            <w:shd w:fill="065A82" w:color="auto" w:val="clear"/>
            <w:tcMar>
              <w:top w:type="dxa" w:w="50"/>
              <w:left w:type="dxa" w:w="80"/>
              <w:bottom w:type="dxa" w:w="50"/>
              <w:right w:type="dxa" w:w="80"/>
            </w:tcMar>
          </w:tcPr>
          <w:p>
            <w:pPr>
              <w:spacing w:after="30"/>
            </w:pPr>
            <w:r>
              <w:rPr>
                <w:rFonts w:ascii="Calibri" w:cs="Calibri" w:eastAsia="Calibri" w:hAnsi="Calibri"/>
                <w:b/>
                <w:bCs/>
                <w:color w:val="FFFFFF"/>
                <w:sz w:val="19"/>
                <w:szCs w:val="19"/>
              </w:rPr>
              <w:t xml:space="preserve">Notes</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Intro + concept</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Trainer-led, hand-rolled algorithm on screen</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Individual build</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75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Starter notebook; hints at the halfway point</w:t>
            </w:r>
          </w:p>
        </w:tc>
      </w:tr>
      <w:tr>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GPU steps / team extension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30</w:t>
            </w:r>
          </w:p>
        </w:tc>
        <w:tc>
          <w:tcPr>
            <w:tcW w:type="dxa" w:w="486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30"/>
            </w:pPr>
            <w:r>
              <w:rPr>
                <w:rFonts w:ascii="Calibri" w:cs="Calibri" w:eastAsia="Calibri" w:hAnsi="Calibri"/>
                <w:sz w:val="19"/>
                <w:szCs w:val="19"/>
              </w:rPr>
              <w:t xml:space="preserve">Real model or platform step; teams of 3–4</w:t>
            </w:r>
          </w:p>
        </w:tc>
      </w:tr>
      <w:tr>
        <w:tc>
          <w:tcPr>
            <w:tcW w:type="dxa" w:w="30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Review</w:t>
            </w:r>
          </w:p>
        </w:tc>
        <w:tc>
          <w:tcPr>
            <w:tcW w:type="dxa" w:w="150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15</w:t>
            </w:r>
          </w:p>
        </w:tc>
        <w:tc>
          <w:tcPr>
            <w:tcW w:type="dxa" w:w="48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tcPr>
          <w:p>
            <w:pPr>
              <w:spacing w:after="30"/>
            </w:pPr>
            <w:r>
              <w:rPr>
                <w:rFonts w:ascii="Calibri" w:cs="Calibri" w:eastAsia="Calibri" w:hAnsi="Calibri"/>
                <w:sz w:val="19"/>
                <w:szCs w:val="19"/>
              </w:rPr>
              <w:t xml:space="preserve">One team demos; done-means checked live</w:t>
            </w:r>
          </w:p>
        </w:tc>
      </w:tr>
    </w:tbl>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LLMOps Advanced Labs · L03 Lab Guide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2026-09-12T08:25:12.773Z</dcterms:created>
  <dcterms:modified xsi:type="dcterms:W3CDTF">2026-09-12T08:25:12.773Z</dcterms:modified>
</cp:coreProperties>
</file>

<file path=docProps/custom.xml><?xml version="1.0" encoding="utf-8"?>
<Properties xmlns="http://schemas.openxmlformats.org/officeDocument/2006/custom-properties" xmlns:vt="http://schemas.openxmlformats.org/officeDocument/2006/docPropsVTypes"/>
</file>