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L06 · OBJECTIVE 7</w:t>
      </w:r>
    </w:p>
    <w:p>
      <w:pPr>
        <w:spacing w:after="70"/>
      </w:pPr>
      <w:r>
        <w:rPr>
          <w:rFonts w:ascii="Cambria" w:cs="Cambria" w:eastAsia="Cambria" w:hAnsi="Cambria"/>
          <w:b/>
          <w:bCs/>
          <w:color w:val="21295C"/>
          <w:sz w:val="40"/>
          <w:szCs w:val="40"/>
        </w:rPr>
        <w:t xml:space="preserve">L06 — Mixture-of-Experts serving</w:t>
      </w:r>
    </w:p>
    <w:p>
      <w:pPr>
        <w:pBdr>
          <w:bottom w:val="single" w:color="E0A800" w:sz="12" w:space="4"/>
        </w:pBdr>
        <w:spacing w:after="180"/>
      </w:pPr>
      <w:r>
        <w:rPr>
          <w:rFonts w:ascii="Calibri" w:cs="Calibri" w:eastAsia="Calibri" w:hAnsi="Calibri"/>
          <w:i/>
          <w:iCs/>
          <w:color w:val="065A82"/>
          <w:sz w:val="22"/>
          <w:szCs w:val="22"/>
        </w:rPr>
        <w:t xml:space="preserve">Implement a top-k router and measure expert load imbalance; then serve Gemma 4 26B A4B and Nemotron 3 Nano and compare active-parameter cost to dense Gemma 4 31B.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≈1.5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labs/L06/L06_lab.ipynb (starter) · L06_solution.ipynb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Router load-imbalance metric computed; capacity-factor drop rate reported; MoE-vs-dense serving comparison table filled from measurements.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multi-surface assistant (handhelds, app, contact centre) on a fixed GPU budget · Dense vs MoE for the nightly product-description job</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A top-k router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an MoE layer is just N small MLPs plus a router that picks k of them per token. The router is a linear layer + softmax + top-k; write it.</w:t>
      </w:r>
    </w:p>
    <w:p>
      <w:pPr>
        <w:pStyle w:val="Heading3"/>
        <w:spacing w:after="60" w:before="140"/>
      </w:pPr>
      <w:r>
        <w:rPr>
          <w:rFonts w:ascii="Cambria" w:cs="Cambria" w:eastAsia="Cambria" w:hAnsi="Cambria"/>
          <w:b/>
          <w:bCs/>
          <w:color w:val="1C7293"/>
          <w:sz w:val="23"/>
          <w:szCs w:val="23"/>
        </w:rPr>
        <w:t xml:space="preserve">Step 2 — Measure load imbalance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if one expert receives most tokens, the GPU holding it is the bottleneck and the others idle. Serving frameworks report this; you should be able to compute it: `max_load / mean_load` and the coefficient of variation.</w:t>
      </w:r>
    </w:p>
    <w:p>
      <w:pPr>
        <w:pStyle w:val="Heading3"/>
        <w:spacing w:after="60" w:before="140"/>
      </w:pPr>
      <w:r>
        <w:rPr>
          <w:rFonts w:ascii="Cambria" w:cs="Cambria" w:eastAsia="Cambria" w:hAnsi="Cambria"/>
          <w:b/>
          <w:bCs/>
          <w:color w:val="1C7293"/>
          <w:sz w:val="23"/>
          <w:szCs w:val="23"/>
        </w:rPr>
        <w:t xml:space="preserve">Step 3 — Capacity factor and token dropping</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training and some serving paths cap tokens per expert at `capacity = CF × tokens×k / experts`; overflow tokens are dropped (or routed to the next expert). Compute the drop rate for the balanced and skewed routers at CF = 1.0 and 1.25.</w:t>
      </w:r>
    </w:p>
    <w:p>
      <w:pPr>
        <w:pStyle w:val="Heading3"/>
        <w:spacing w:after="60" w:before="140"/>
      </w:pPr>
      <w:r>
        <w:rPr>
          <w:rFonts w:ascii="Cambria" w:cs="Cambria" w:eastAsia="Cambria" w:hAnsi="Cambria"/>
          <w:b/>
          <w:bCs/>
          <w:color w:val="1C7293"/>
          <w:sz w:val="23"/>
          <w:szCs w:val="23"/>
        </w:rPr>
        <w:t xml:space="preserve">Step 4 — Active vs total parameters: compute and memory</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MoE promise is "31B quality at 4B FLOPs" — but memory holds all 26B. Compute per-token FLOPs (≈2×active params) and resident memory (all params) for the three lab models, and see which resource each is bound by.</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the parameter figures are from the public model cards as of Sep 2026; "~A4B" is Google's own notation for ~4B active. Re-verify.</w:t>
      </w:r>
    </w:p>
    <w:p>
      <w:pPr>
        <w:pStyle w:val="Heading3"/>
        <w:spacing w:after="60" w:before="140"/>
      </w:pPr>
      <w:r>
        <w:rPr>
          <w:rFonts w:ascii="Cambria" w:cs="Cambria" w:eastAsia="Cambria" w:hAnsi="Cambria"/>
          <w:b/>
          <w:bCs/>
          <w:color w:val="1C7293"/>
          <w:sz w:val="23"/>
          <w:szCs w:val="23"/>
        </w:rPr>
        <w:t xml:space="preserve">Step 5 — Serve the real models with vLLM (GPU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measure it. Start vLLM for each model (lab guide §Step 5 — expert parallelism flags are version-sensitive), then reuse the L03 harness at concurrency 8 and 32.</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vLLM MoE serving: `vllm serve google/gemma-4-26b-a4b-it` (single A100-80GB fits bf16 per L01) and `vllm serve nvidia/&lt;nemotron-3-nano id&gt; --trust-remote-code`; for multi-GPU expert parallel add `--tensor-parallel-size N` (and `--enable-expert-parallel` where supported — flag names are version-sensitive). Dense baseline: `vllm serve google/gemma-4-31b-it` needs 2× A100 (TP=2) or int4 (`--quantization awq`) on one. Run the L03 harness at concurrency 8 and 32; record `nvidia-smi` memory.</w:t>
      </w:r>
    </w:p>
    <w:p>
      <w:pPr>
        <w:pStyle w:val="Heading3"/>
        <w:spacing w:after="60" w:before="140"/>
      </w:pPr>
      <w:r>
        <w:rPr>
          <w:rFonts w:ascii="Cambria" w:cs="Cambria" w:eastAsia="Cambria" w:hAnsi="Cambria"/>
          <w:b/>
          <w:bCs/>
          <w:color w:val="1C7293"/>
          <w:sz w:val="23"/>
          <w:szCs w:val="23"/>
        </w:rPr>
        <w:t xml:space="preserve">Step 6 — MoE-vs-dense recommendation (the deliverable)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one page for one of the team's own workloads: which is cheaper per million tokens at the concurrency they actually run, and why.</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L06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2026-09-12T08:25:12.867Z</dcterms:created>
  <dcterms:modified xsi:type="dcterms:W3CDTF">2026-09-12T08:25:12.867Z</dcterms:modified>
</cp:coreProperties>
</file>

<file path=docProps/custom.xml><?xml version="1.0" encoding="utf-8"?>
<Properties xmlns="http://schemas.openxmlformats.org/officeDocument/2006/custom-properties" xmlns:vt="http://schemas.openxmlformats.org/officeDocument/2006/docPropsVTypes"/>
</file>