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1C7293"/>
          <w:sz w:val="18"/>
          <w:szCs w:val="18"/>
        </w:rPr>
        <w:t xml:space="preserve">LAB GUIDE · L07 · OBJECTIVE 8</w:t>
      </w:r>
    </w:p>
    <w:p>
      <w:pPr>
        <w:spacing w:after="70"/>
      </w:pPr>
      <w:r>
        <w:rPr>
          <w:rFonts w:ascii="Cambria" w:cs="Cambria" w:eastAsia="Cambria" w:hAnsi="Cambria"/>
          <w:b/>
          <w:bCs/>
          <w:color w:val="21295C"/>
          <w:sz w:val="40"/>
          <w:szCs w:val="40"/>
        </w:rPr>
        <w:t xml:space="preserve">L07 — Stand up Gemma end-to-end: LoRA fine-tune, MLflow, Unity Catalog, serve</w:t>
      </w:r>
    </w:p>
    <w:p>
      <w:pPr>
        <w:pBdr>
          <w:bottom w:val="single" w:color="E0A800" w:sz="12" w:space="4"/>
        </w:pBdr>
        <w:spacing w:after="180"/>
      </w:pPr>
      <w:r>
        <w:rPr>
          <w:rFonts w:ascii="Calibri" w:cs="Calibri" w:eastAsia="Calibri" w:hAnsi="Calibri"/>
          <w:i/>
          <w:iCs/>
          <w:color w:val="065A82"/>
          <w:sz w:val="22"/>
          <w:szCs w:val="22"/>
        </w:rPr>
        <w:t xml:space="preserve">Pull Gemma 4 E4B, LoRA fine-tune on Northfield supplier-sheet attribute data, evaluate with a harness, register in Unity Catalog via MLflow, and serve behind an OpenAI-compatible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Field</w:t>
            </w:r>
          </w:p>
        </w:tc>
        <w:tc>
          <w:tcPr>
            <w:tcW w:type="dxa" w:w="69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Value</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Platform</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Databricks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Compute SKU</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Standard_NC24ads_A100_v4</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Duration</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3 h (of which ≈2.5 GPU-hours)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Files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labs/L07/L07_lab.ipynb (starter) · L07_solution.ipynb · data/ folder</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Done means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Hand-rolled LoRA update reproduces W+BA; fine-tuned endpoint passes the acceptance suite and the task eval floor.</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Industry use cases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Attribute extraction (brand, size, pack, later allergen/dietary) from supplier sheets · House-style product descriptions respecting regulated-claim rules</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Build test status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Executed in SMOKE mode: 5 checks PASS; starter compiles</w:t>
            </w:r>
          </w:p>
        </w:tc>
      </w:tr>
    </w:tbl>
    <w:p>
      <w:pPr>
        <w:spacing w:after="60"/>
      </w:pPr>
      <w:r>
        <w:rPr>
          <w:rFonts w:ascii="Calibri" w:cs="Calibri" w:eastAsia="Calibri" w:hAnsi="Calibri"/>
          <w:sz w:val="22"/>
          <w:szCs w:val="22"/>
        </w:rPr>
        <w:t xml:space="preserve"/>
      </w:r>
    </w:p>
    <w:p>
      <w:pPr>
        <w:pStyle w:val="Heading1"/>
        <w:spacing w:after="130" w:before="300"/>
      </w:pPr>
      <w:r>
        <w:rPr>
          <w:rFonts w:ascii="Cambria" w:cs="Cambria" w:eastAsia="Cambria" w:hAnsi="Cambria"/>
          <w:b/>
          <w:bCs/>
          <w:color w:val="21295C"/>
          <w:sz w:val="30"/>
          <w:szCs w:val="30"/>
        </w:rPr>
        <w:t xml:space="preserve">1. Before you start</w:t>
      </w:r>
    </w:p>
    <w:p>
      <w:pPr>
        <w:pStyle w:val="ListParagraph"/>
        <w:numPr>
          <w:ilvl w:val="0"/>
          <w:numId w:val="2"/>
        </w:numPr>
        <w:spacing w:after="60"/>
      </w:pPr>
      <w:r>
        <w:rPr>
          <w:rFonts w:ascii="Calibri" w:cs="Calibri" w:eastAsia="Calibri" w:hAnsi="Calibri"/>
          <w:sz w:val="22"/>
          <w:szCs w:val="22"/>
        </w:rPr>
        <w:t xml:space="preserve">Open the starter notebook on the compute named above; confirm the header cell prints LAB_MODE=GPU (on a GPU node) and finds DATA_DIR.</w:t>
      </w:r>
    </w:p>
    <w:p>
      <w:pPr>
        <w:pStyle w:val="ListParagraph"/>
        <w:numPr>
          <w:ilvl w:val="0"/>
          <w:numId w:val="2"/>
        </w:numPr>
        <w:spacing w:after="60"/>
      </w:pPr>
      <w:r>
        <w:rPr>
          <w:rFonts w:ascii="Calibri" w:cs="Calibri" w:eastAsia="Calibri" w:hAnsi="Calibri"/>
          <w:sz w:val="22"/>
          <w:szCs w:val="22"/>
        </w:rPr>
        <w:t xml:space="preserve">Every code cell that ends with check(...) is an acceptance test: it prints PASS or stops the notebook. Do not edit the check lines.</w:t>
      </w:r>
    </w:p>
    <w:p>
      <w:pPr>
        <w:pStyle w:val="ListParagraph"/>
        <w:numPr>
          <w:ilvl w:val="0"/>
          <w:numId w:val="2"/>
        </w:numPr>
        <w:spacing w:after="60"/>
      </w:pPr>
      <w:r>
        <w:rPr>
          <w:rFonts w:ascii="Calibri" w:cs="Calibri" w:eastAsia="Calibri" w:hAnsi="Calibri"/>
          <w:sz w:val="22"/>
          <w:szCs w:val="22"/>
        </w:rPr>
        <w:t xml:space="preserve">TODO blocks in the starter carry a one-line hint. The solution notebook is released after the session — attempt first.</w:t>
      </w:r>
    </w:p>
    <w:p>
      <w:pPr>
        <w:pStyle w:val="Heading1"/>
        <w:spacing w:after="130" w:before="300"/>
      </w:pPr>
      <w:r>
        <w:rPr>
          <w:rFonts w:ascii="Cambria" w:cs="Cambria" w:eastAsia="Cambria" w:hAnsi="Cambria"/>
          <w:b/>
          <w:bCs/>
          <w:color w:val="21295C"/>
          <w:sz w:val="30"/>
          <w:szCs w:val="30"/>
        </w:rPr>
        <w:t xml:space="preserve">2. Steps</w:t>
      </w:r>
    </w:p>
    <w:p>
      <w:pPr>
        <w:spacing w:after="110"/>
      </w:pPr>
      <w:r>
        <w:rPr>
          <w:rFonts w:ascii="Calibri" w:cs="Calibri" w:eastAsia="Calibri" w:hAnsi="Calibri"/>
          <w:sz w:val="22"/>
          <w:szCs w:val="22"/>
        </w:rPr>
        <w:t xml:space="preserve">Each step below mirrors a section of the notebook. "Why" is the concept, "What" is the task, "Watch" is the common mistake.</w:t>
      </w:r>
    </w:p>
    <w:p>
      <w:pPr>
        <w:pStyle w:val="Heading3"/>
        <w:spacing w:after="60" w:before="140"/>
      </w:pPr>
      <w:r>
        <w:rPr>
          <w:rFonts w:ascii="Cambria" w:cs="Cambria" w:eastAsia="Cambria" w:hAnsi="Cambria"/>
          <w:b/>
          <w:bCs/>
          <w:color w:val="1C7293"/>
          <w:sz w:val="23"/>
          <w:szCs w:val="23"/>
        </w:rPr>
        <w:t xml:space="preserve">Step 1 — Load and inspect the training data</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the task is JSON attribute extraction from a title. Know the target schema before you tune anything.</w:t>
      </w:r>
    </w:p>
    <w:p>
      <w:pPr>
        <w:pStyle w:val="Heading3"/>
        <w:spacing w:after="60" w:before="140"/>
      </w:pPr>
      <w:r>
        <w:rPr>
          <w:rFonts w:ascii="Cambria" w:cs="Cambria" w:eastAsia="Cambria" w:hAnsi="Cambria"/>
          <w:b/>
          <w:bCs/>
          <w:color w:val="1C7293"/>
          <w:sz w:val="23"/>
          <w:szCs w:val="23"/>
        </w:rPr>
        <w:t xml:space="preserve">Step 2 — LoRA by hand</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LoRA freezes W and learns a low-rank update ΔW = B·A (r ≪ d). Show that the forward pass with the adapter equals the forward pass with the merged weight, which is exactly what "merge and unload" does before serving.</w:t>
      </w:r>
    </w:p>
    <w:p>
      <w:pPr>
        <w:pStyle w:val="Heading3"/>
        <w:spacing w:after="60" w:before="140"/>
      </w:pPr>
      <w:r>
        <w:rPr>
          <w:rFonts w:ascii="Cambria" w:cs="Cambria" w:eastAsia="Cambria" w:hAnsi="Cambria"/>
          <w:b/>
          <w:bCs/>
          <w:color w:val="1C7293"/>
          <w:sz w:val="23"/>
          <w:szCs w:val="23"/>
        </w:rPr>
        <w:t xml:space="preserve">Step 3 — The evaluation harness</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fine-tuning without a harness is guessing. Exact-match on parsed JSON, plus a per-key accuracy so you know *which* attribute is failing. This same harness is reused by L09's CI gate.</w:t>
      </w:r>
    </w:p>
    <w:p>
      <w:pPr>
        <w:pStyle w:val="Heading3"/>
        <w:spacing w:after="60" w:before="140"/>
      </w:pPr>
      <w:r>
        <w:rPr>
          <w:rFonts w:ascii="Cambria" w:cs="Cambria" w:eastAsia="Cambria" w:hAnsi="Cambria"/>
          <w:b/>
          <w:bCs/>
          <w:color w:val="1C7293"/>
          <w:sz w:val="23"/>
          <w:szCs w:val="23"/>
        </w:rPr>
        <w:t xml:space="preserve">Step 4 — Fine-tune with PEFT on the cluster</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`peft.LoraConfig` on the attention and MLP projections of Gemma 4 E4B, `trl.SFTTrainer` over the 600 prompts, 2–3 epochs. Log everything to MLflow. API signatures are version-sensitive — the lab guide lists the exact calls to verify.</w:t>
      </w:r>
    </w:p>
    <w:p>
      <w:pPr>
        <w:spacing w:after="110"/>
      </w:pPr>
      <w:r>
        <w:rPr>
          <w:rFonts w:ascii="Calibri" w:cs="Calibri" w:eastAsia="Calibri" w:hAnsi="Calibri"/>
          <w:b/>
          <w:bCs/>
          <w:color w:val="1C7293"/>
          <w:sz w:val="22"/>
          <w:szCs w:val="22"/>
        </w:rPr>
        <w:t xml:space="preserve">On the platform: </w:t>
      </w:r>
      <w:r>
        <w:rPr>
          <w:rFonts w:ascii="Calibri" w:cs="Calibri" w:eastAsia="Calibri" w:hAnsi="Calibri"/>
          <w:sz w:val="22"/>
          <w:szCs w:val="22"/>
        </w:rPr>
        <w:t xml:space="preserve">`from peft import LoraConfig; cfg = LoraConfig(r=16, lora_alpha=32, lora_dropout=0.05, target_modules=[…q_proj,k_proj,v_proj,o_proj,gate_proj,up_proj,down_proj — confirm names from model.named_modules()], task_type='CAUSAL_LM')`. `from trl import SFTTrainer, SFTConfig`; format each row as prompt + target JSON; 3 epochs, lr 2e-4, bf16. `mlflow.autolog()` before training. Signatures of `SFTTrainer`/`SFTConfig` changed across trl versions — verify.</w:t>
      </w:r>
    </w:p>
    <w:p>
      <w:pPr>
        <w:pStyle w:val="Heading3"/>
        <w:spacing w:after="60" w:before="140"/>
      </w:pPr>
      <w:r>
        <w:rPr>
          <w:rFonts w:ascii="Cambria" w:cs="Cambria" w:eastAsia="Cambria" w:hAnsi="Cambria"/>
          <w:b/>
          <w:bCs/>
          <w:color w:val="1C7293"/>
          <w:sz w:val="23"/>
          <w:szCs w:val="23"/>
        </w:rPr>
        <w:t xml:space="preserve">Step 5 — Evaluate the fine-tuned model with the same harness</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the acceptance floor is exact_match ≥ 0.80 on the 200-item eval (set by the trainer for this synthetic task). Compare with the rule-based baseline — a tuned LLM that loses to rules should not ship.</w:t>
      </w:r>
    </w:p>
    <w:p>
      <w:pPr>
        <w:spacing w:after="110"/>
      </w:pPr>
      <w:r>
        <w:rPr>
          <w:rFonts w:ascii="Calibri" w:cs="Calibri" w:eastAsia="Calibri" w:hAnsi="Calibri"/>
          <w:b/>
          <w:bCs/>
          <w:color w:val="1C7293"/>
          <w:sz w:val="22"/>
          <w:szCs w:val="22"/>
        </w:rPr>
        <w:t xml:space="preserve">On the platform: </w:t>
      </w:r>
      <w:r>
        <w:rPr>
          <w:rFonts w:ascii="Calibri" w:cs="Calibri" w:eastAsia="Calibri" w:hAnsi="Calibri"/>
          <w:sz w:val="22"/>
          <w:szCs w:val="22"/>
        </w:rPr>
        <w:t xml:space="preserve">`predict_fn = lambda p: tokenizer.decode(model.generate(**tokenizer(p, return_tensors='pt').to('cuda'), max_new_tokens=64, do_sample=False)[0][input_len:], skip_special_tokens=True)`; `tuned = evaluate(predict_fn, evalset)`.</w:t>
      </w:r>
    </w:p>
    <w:p>
      <w:pPr>
        <w:pStyle w:val="Heading3"/>
        <w:spacing w:after="60" w:before="140"/>
      </w:pPr>
      <w:r>
        <w:rPr>
          <w:rFonts w:ascii="Cambria" w:cs="Cambria" w:eastAsia="Cambria" w:hAnsi="Cambria"/>
          <w:b/>
          <w:bCs/>
          <w:color w:val="1C7293"/>
          <w:sz w:val="23"/>
          <w:szCs w:val="23"/>
        </w:rPr>
        <w:t xml:space="preserve">Step 6 — Register in Unity Catalog via MLflow</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the registry is the hand-off point to serving and to the CI gate. `mlflow.set_registry_uri("databricks-uc")`, log the merged model with `mlflow.transformers.log_model`, then `mlflow.register_model(..., "northfield.llmops.gemma4_e4b_attr")`. Names are three-level (catalog.schema.model).</w:t>
      </w:r>
    </w:p>
    <w:p>
      <w:pPr>
        <w:spacing w:after="110"/>
      </w:pPr>
      <w:r>
        <w:rPr>
          <w:rFonts w:ascii="Calibri" w:cs="Calibri" w:eastAsia="Calibri" w:hAnsi="Calibri"/>
          <w:b/>
          <w:bCs/>
          <w:color w:val="1C7293"/>
          <w:sz w:val="22"/>
          <w:szCs w:val="22"/>
        </w:rPr>
        <w:t xml:space="preserve">On the platform: </w:t>
      </w:r>
      <w:r>
        <w:rPr>
          <w:rFonts w:ascii="Calibri" w:cs="Calibri" w:eastAsia="Calibri" w:hAnsi="Calibri"/>
          <w:sz w:val="22"/>
          <w:szCs w:val="22"/>
        </w:rPr>
        <w:t xml:space="preserve">`model = model.merge_and_unload()`; `mlflow.set_registry_uri('databricks-uc')`; `mlflow.transformers.log_model(transformers_model={'model': model, 'tokenizer': tokenizer}, artifact_path='model', registered_model_name='northfield.llmops.gemma4_e4b_attr')`.</w:t>
      </w:r>
    </w:p>
    <w:p>
      <w:pPr>
        <w:pStyle w:val="Heading3"/>
        <w:spacing w:after="60" w:before="140"/>
      </w:pPr>
      <w:r>
        <w:rPr>
          <w:rFonts w:ascii="Cambria" w:cs="Cambria" w:eastAsia="Cambria" w:hAnsi="Cambria"/>
          <w:b/>
          <w:bCs/>
          <w:color w:val="1C7293"/>
          <w:sz w:val="23"/>
          <w:szCs w:val="23"/>
        </w:rPr>
        <w:t xml:space="preserve">Step 7 — Serve and run the acceptance suite</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Databricks Model Serving (GPU endpoint) or vLLM on the cluster exposes an OpenAI-compatible route. The acceptance suite is: 20 golden prompts pass, one malformed prompt returns a controlled error, p95 latency under the SLA you set in L03.</w:t>
      </w:r>
    </w:p>
    <w:p>
      <w:pPr>
        <w:spacing w:after="110"/>
      </w:pPr>
      <w:r>
        <w:rPr>
          <w:rFonts w:ascii="Calibri" w:cs="Calibri" w:eastAsia="Calibri" w:hAnsi="Calibri"/>
          <w:b/>
          <w:bCs/>
          <w:color w:val="1C7293"/>
          <w:sz w:val="22"/>
          <w:szCs w:val="22"/>
        </w:rPr>
        <w:t xml:space="preserve">On the platform: </w:t>
      </w:r>
      <w:r>
        <w:rPr>
          <w:rFonts w:ascii="Calibri" w:cs="Calibri" w:eastAsia="Calibri" w:hAnsi="Calibri"/>
          <w:sz w:val="22"/>
          <w:szCs w:val="22"/>
        </w:rPr>
        <w:t xml:space="preserve">Databricks Model Serving: create a GPU endpoint (GPU_MEDIUM or per pricing sheet) from the UC model version; or `vllm serve /local_disk0/merged`. Run 20 golden prompts, one malformed prompt (expect HTTP 4xx, not 5xx), and the L03 harness for p95.</w:t>
      </w:r>
    </w:p>
    <w:p>
      <w:pPr>
        <w:pStyle w:val="Heading1"/>
        <w:spacing w:after="130" w:before="300"/>
      </w:pPr>
      <w:r>
        <w:rPr>
          <w:rFonts w:ascii="Cambria" w:cs="Cambria" w:eastAsia="Cambria" w:hAnsi="Cambria"/>
          <w:b/>
          <w:bCs/>
          <w:color w:val="21295C"/>
          <w:sz w:val="30"/>
          <w:szCs w:val="30"/>
        </w:rPr>
        <w:t xml:space="preserve">3. Version-sensitive items in this lab</w:t>
      </w:r>
    </w:p>
    <w:p>
      <w:pPr>
        <w:spacing w:after="110"/>
      </w:pPr>
      <w:r>
        <w:rPr>
          <w:rFonts w:ascii="Calibri" w:cs="Calibri" w:eastAsia="Calibri" w:hAnsi="Calibri"/>
          <w:i/>
          <w:iCs/>
          <w:sz w:val="22"/>
          <w:szCs w:val="22"/>
        </w:rPr>
        <w:t xml:space="preserve">Commands and API names quoted in the platform notes were correct as of the build date but change frequently. Before delivery run each GPU step on the pinned runtime and record library versions in the Facilitator Guide register.</w:t>
      </w:r>
    </w:p>
    <w:p>
      <w:pPr>
        <w:pStyle w:val="Heading1"/>
        <w:spacing w:after="130" w:before="300"/>
      </w:pPr>
      <w:r>
        <w:rPr>
          <w:rFonts w:ascii="Cambria" w:cs="Cambria" w:eastAsia="Cambria" w:hAnsi="Cambria"/>
          <w:b/>
          <w:bCs/>
          <w:color w:val="21295C"/>
          <w:sz w:val="30"/>
          <w:szCs w:val="30"/>
        </w:rPr>
        <w:t xml:space="preserve">4.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4860"/>
      </w:tblGrid>
      <w:tr>
        <w:trPr>
          <w:tblHeader/>
        </w:trPr>
        <w:tc>
          <w:tcPr>
            <w:tcW w:type="dxa" w:w="30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Block</w:t>
            </w:r>
          </w:p>
        </w:tc>
        <w:tc>
          <w:tcPr>
            <w:tcW w:type="dxa" w:w="15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Minutes</w:t>
            </w:r>
          </w:p>
        </w:tc>
        <w:tc>
          <w:tcPr>
            <w:tcW w:type="dxa" w:w="48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Notes</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Intro + concept</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36</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Trainer-led, hand-rolled algorithm on screen</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Individual build</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90</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Starter notebook; hints at the halfway point</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GPU steps / team extension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36</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Real model or platform step; teams of 3–4</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Review</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18</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One team demos; done-means checked live</w:t>
            </w:r>
          </w:p>
        </w:tc>
      </w:tr>
    </w:tbl>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LLMOps Advanced Labs · L07 Lab Guide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2026-09-12T08:25:12.891Z</dcterms:created>
  <dcterms:modified xsi:type="dcterms:W3CDTF">2026-09-12T08:25:12.891Z</dcterms:modified>
</cp:coreProperties>
</file>

<file path=docProps/custom.xml><?xml version="1.0" encoding="utf-8"?>
<Properties xmlns="http://schemas.openxmlformats.org/officeDocument/2006/custom-properties" xmlns:vt="http://schemas.openxmlformats.org/officeDocument/2006/docPropsVTypes"/>
</file>