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L08 · OBJECTIVE 9</w:t>
      </w:r>
    </w:p>
    <w:p>
      <w:pPr>
        <w:spacing w:after="70"/>
      </w:pPr>
      <w:r>
        <w:rPr>
          <w:rFonts w:ascii="Cambria" w:cs="Cambria" w:eastAsia="Cambria" w:hAnsi="Cambria"/>
          <w:b/>
          <w:bCs/>
          <w:color w:val="21295C"/>
          <w:sz w:val="40"/>
          <w:szCs w:val="40"/>
        </w:rPr>
        <w:t xml:space="preserve">L08 — Encoder classifiers at catalog scale (RoBERTa-class → ONNX → Spark)</w:t>
      </w:r>
    </w:p>
    <w:p>
      <w:pPr>
        <w:pBdr>
          <w:bottom w:val="single" w:color="E0A800" w:sz="12" w:space="4"/>
        </w:pBdr>
        <w:spacing w:after="180"/>
      </w:pPr>
      <w:r>
        <w:rPr>
          <w:rFonts w:ascii="Calibri" w:cs="Calibri" w:eastAsia="Calibri" w:hAnsi="Calibri"/>
          <w:i/>
          <w:iCs/>
          <w:color w:val="065A82"/>
          <w:sz w:val="22"/>
          <w:szCs w:val="22"/>
        </w:rPr>
        <w:t xml:space="preserve">Fine-tune a RoBERTa-class classifier for taxonomy, export to ONNX, accelerate with TensorRT/onnxruntime, and score a large item set with a Spark pandas UDF; compare cost and latency with LLM zero-shot.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labs/L08/L08_lab.ipynb (starter) · L08_solution.ipynb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Macro-F1 above floor on held-out set; ONNX inference matches the trained model; Spark UDF scores the full set; cost-per-million-items derived from measured runtime.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Nightly taxonomy classification of 38k listings · Promo-copy policy screening before publish</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6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Clean and split the catalog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catalog carries planted defects (D1 duplicates, D2 near-duplicates, D4 bad labels). A classifier trained on leaked duplicates reports a fake F1. Clean first, split by item, assert the cleaning.</w:t>
      </w:r>
    </w:p>
    <w:p>
      <w:pPr>
        <w:pStyle w:val="Heading3"/>
        <w:spacing w:after="60" w:before="140"/>
      </w:pPr>
      <w:r>
        <w:rPr>
          <w:rFonts w:ascii="Cambria" w:cs="Cambria" w:eastAsia="Cambria" w:hAnsi="Cambria"/>
          <w:b/>
          <w:bCs/>
          <w:color w:val="1C7293"/>
          <w:sz w:val="23"/>
          <w:szCs w:val="23"/>
        </w:rPr>
        <w:t xml:space="preserve">Step 2 — Train the classifier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encoder path. In GPU mode: `AutoModelForSequenceClassification` from a RoBERTa-class checkpoint, 3 epochs, `Trainer`. In SMOKE mode: the linear baseline — which is also the number a RoBERTa fine-tune must beat to justify its GPU cost.</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`AutoModelForSequenceClassification.from_pretrained('roberta-base', num_labels=8)` (or the team's domain checkpoint); `Trainer` 3 epochs, lr 2e-5, max_length 64. Export: `optimum-cli export onnx --model &lt;dir&gt; --task text-classification /tmp/roberta_onnx`. In the Spark UDF replace the sklearn session with `onnxruntime.InferenceSession(path, providers=['TensorrtExecutionProvider','CUDAExecutionProvider'])` on GPU workers; tokenise in the UDF.</w:t>
      </w:r>
    </w:p>
    <w:p>
      <w:pPr>
        <w:pStyle w:val="Heading3"/>
        <w:spacing w:after="60" w:before="140"/>
      </w:pPr>
      <w:r>
        <w:rPr>
          <w:rFonts w:ascii="Cambria" w:cs="Cambria" w:eastAsia="Cambria" w:hAnsi="Cambria"/>
          <w:b/>
          <w:bCs/>
          <w:color w:val="1C7293"/>
          <w:sz w:val="23"/>
          <w:szCs w:val="23"/>
        </w:rPr>
        <w:t xml:space="preserve">Step 3 — Export to ONNX and verify equivalence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ONNX Runtime (CPU or TensorRT execution provider on GPU) is how the classifier ships. An export that silently changes predictions is a production incident; assert agreement on the full test set.</w:t>
      </w:r>
    </w:p>
    <w:p>
      <w:pPr>
        <w:pStyle w:val="Heading3"/>
        <w:spacing w:after="60" w:before="140"/>
      </w:pPr>
      <w:r>
        <w:rPr>
          <w:rFonts w:ascii="Cambria" w:cs="Cambria" w:eastAsia="Cambria" w:hAnsi="Cambria"/>
          <w:b/>
          <w:bCs/>
          <w:color w:val="1C7293"/>
          <w:sz w:val="23"/>
          <w:szCs w:val="23"/>
        </w:rPr>
        <w:t xml:space="preserve">Step 4 — Measure single-node throughput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cost per million items comes from items/second, not from a vendor slide. Time the ONNX session on a 50k-row batch (titles tiled from the catalog).</w:t>
      </w:r>
    </w:p>
    <w:p>
      <w:pPr>
        <w:pStyle w:val="Heading3"/>
        <w:spacing w:after="60" w:before="140"/>
      </w:pPr>
      <w:r>
        <w:rPr>
          <w:rFonts w:ascii="Cambria" w:cs="Cambria" w:eastAsia="Cambria" w:hAnsi="Cambria"/>
          <w:b/>
          <w:bCs/>
          <w:color w:val="1C7293"/>
          <w:sz w:val="23"/>
          <w:szCs w:val="23"/>
        </w:rPr>
        <w:t xml:space="preserve">Step 5 — Scale out with a Spark pandas UDF</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millions of items means Spark. A pandas UDF loads the ONNX session once per executor (module-level cache) and scores batches. Runs in local mode here; on Databricks the same code fans out over workers.</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Arrow batch size (`spark.sql.execution.arrow.maxRecordsPerBatch`) controls the per-call batch — too small wastes session overhead, too large risks executor memory.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Multi-node: cluster with 2–4 T4 workers; set `spark.task.resource.gpu.amount 1`; repartition to workers×2. Compare items/s vs single node; compute cost per million from measured rate × VM $/hr (include all workers).</w:t>
      </w:r>
    </w:p>
    <w:p>
      <w:pPr>
        <w:pStyle w:val="Heading3"/>
        <w:spacing w:after="60" w:before="140"/>
      </w:pPr>
      <w:r>
        <w:rPr>
          <w:rFonts w:ascii="Cambria" w:cs="Cambria" w:eastAsia="Cambria" w:hAnsi="Cambria"/>
          <w:b/>
          <w:bCs/>
          <w:color w:val="1C7293"/>
          <w:sz w:val="23"/>
          <w:szCs w:val="23"/>
        </w:rPr>
        <w:t xml:space="preserve">Step 6 — Cost per million items, and the LLM zero-shot comparison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business question. Encoder cost = (VM $/hr ÷ measured items/hr) × 1e6. LLM zero-shot cost = tokens per item × $/token (per-token or provisioned-throughput rate). Enter your measured encoder throughput on the GPU cluster and the LLM token cost from your platform's pricing page; the formula is what matters.</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the SKU price below comes from `content.py` and is approximate; the workbook holds the editable anchor.</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L08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2026-09-12T08:25:12.906Z</dcterms:created>
  <dcterms:modified xsi:type="dcterms:W3CDTF">2026-09-12T08:25:12.906Z</dcterms:modified>
</cp:coreProperties>
</file>

<file path=docProps/custom.xml><?xml version="1.0" encoding="utf-8"?>
<Properties xmlns="http://schemas.openxmlformats.org/officeDocument/2006/custom-properties" xmlns:vt="http://schemas.openxmlformats.org/officeDocument/2006/docPropsVTypes"/>
</file>