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L13 · OBJECTIVE 16</w:t>
      </w:r>
    </w:p>
    <w:p>
      <w:pPr>
        <w:spacing w:after="70"/>
      </w:pPr>
      <w:r>
        <w:rPr>
          <w:rFonts w:ascii="Cambria" w:cs="Cambria" w:eastAsia="Cambria" w:hAnsi="Cambria"/>
          <w:b/>
          <w:bCs/>
          <w:color w:val="21295C"/>
          <w:sz w:val="40"/>
          <w:szCs w:val="40"/>
        </w:rPr>
        <w:t xml:space="preserve">L13 — Data preparation pipelines: dedup, PII, data cards (Spark + Delta)</w:t>
      </w:r>
    </w:p>
    <w:p>
      <w:pPr>
        <w:pBdr>
          <w:bottom w:val="single" w:color="E0A800" w:sz="12" w:space="4"/>
        </w:pBdr>
        <w:spacing w:after="180"/>
      </w:pPr>
      <w:r>
        <w:rPr>
          <w:rFonts w:ascii="Calibri" w:cs="Calibri" w:eastAsia="Calibri" w:hAnsi="Calibri"/>
          <w:i/>
          <w:iCs/>
          <w:color w:val="065A82"/>
          <w:sz w:val="22"/>
          <w:szCs w:val="22"/>
        </w:rPr>
        <w:t xml:space="preserve">Build the fine-tune/eval corpus pipeline in PySpark: exact and near-duplicate removal, PII redaction, split leakage checks, Delta write, and a data card — all planted defects asserted.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Databricks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Standard_NC4as_T4_v3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 h (of which ≈0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labs/L13/L13_lab.ipynb (starter) · L13_solution.ipynb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All 5 planted defects (D1–D5) are detected and removed; leakage check passes; data card generated.</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Supplier-sheet corpus for extraction fine-tuning · Eval-set hygiene before a model swap; supplier rep PII redaction</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5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Load with Spark</w:t>
      </w:r>
    </w:p>
    <w:p>
      <w:pPr>
        <w:pStyle w:val="Heading3"/>
        <w:spacing w:after="60" w:before="140"/>
      </w:pPr>
      <w:r>
        <w:rPr>
          <w:rFonts w:ascii="Cambria" w:cs="Cambria" w:eastAsia="Cambria" w:hAnsi="Cambria"/>
          <w:b/>
          <w:bCs/>
          <w:color w:val="1C7293"/>
          <w:sz w:val="23"/>
          <w:szCs w:val="23"/>
        </w:rPr>
        <w:t xml:space="preserve">Step 2 — Exact and near-duplicate removal (D1, D2)</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duplicates in a fine-tune corpus over-weight examples; duplicates across train/eval inflate scores. Exact first (item_id + title), then a normalised key (lower, collapse whitespace).</w:t>
      </w:r>
    </w:p>
    <w:p>
      <w:pPr>
        <w:pStyle w:val="Heading3"/>
        <w:spacing w:after="60" w:before="140"/>
      </w:pPr>
      <w:r>
        <w:rPr>
          <w:rFonts w:ascii="Cambria" w:cs="Cambria" w:eastAsia="Cambria" w:hAnsi="Cambria"/>
          <w:b/>
          <w:bCs/>
          <w:color w:val="1C7293"/>
          <w:sz w:val="23"/>
          <w:szCs w:val="23"/>
        </w:rPr>
        <w:t xml:space="preserve">Step 3 — Label validation (D4)</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an out-of-vocabulary label silently becomes a new class. Enforce the allowed set and quarantine the rest.</w:t>
      </w:r>
    </w:p>
    <w:p>
      <w:pPr>
        <w:pStyle w:val="Heading3"/>
        <w:spacing w:after="60" w:before="140"/>
      </w:pPr>
      <w:r>
        <w:rPr>
          <w:rFonts w:ascii="Cambria" w:cs="Cambria" w:eastAsia="Cambria" w:hAnsi="Cambria"/>
          <w:b/>
          <w:bCs/>
          <w:color w:val="1C7293"/>
          <w:sz w:val="23"/>
          <w:szCs w:val="23"/>
        </w:rPr>
        <w:t xml:space="preserve">Step 4 — PII redaction (D3)</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supplier notes leak contact details; a fine-tuned model will happily reproduce them. Regex redaction for emails and phone numbers is the minimum; log the count so the data card can state it.</w:t>
      </w:r>
    </w:p>
    <w:p>
      <w:pPr>
        <w:pStyle w:val="Heading3"/>
        <w:spacing w:after="60" w:before="140"/>
      </w:pPr>
      <w:r>
        <w:rPr>
          <w:rFonts w:ascii="Cambria" w:cs="Cambria" w:eastAsia="Cambria" w:hAnsi="Cambria"/>
          <w:b/>
          <w:bCs/>
          <w:color w:val="1C7293"/>
          <w:sz w:val="23"/>
          <w:szCs w:val="23"/>
        </w:rPr>
        <w:t xml:space="preserve">Step 5 — Train/eval leakage check (D5)</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ten eval prompts were planted verbatim in train. Detect them with a join on the prompt text and remove them from eval (never from train — eval must stay clean and independent).</w:t>
      </w:r>
    </w:p>
    <w:p>
      <w:pPr>
        <w:pStyle w:val="Heading3"/>
        <w:spacing w:after="60" w:before="140"/>
      </w:pPr>
      <w:r>
        <w:rPr>
          <w:rFonts w:ascii="Cambria" w:cs="Cambria" w:eastAsia="Cambria" w:hAnsi="Cambria"/>
          <w:b/>
          <w:bCs/>
          <w:color w:val="1C7293"/>
          <w:sz w:val="23"/>
          <w:szCs w:val="23"/>
        </w:rPr>
        <w:t xml:space="preserve">Step 6 — Write Delta and the data card</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Delta gives versioned, ACID tables in Unity Catalog; the data card records provenance and every transformation count. On Databricks write `format("delta")` to `northfield.llmops.catalog_clean`; locally we write Parquet and keep the same card.</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On Databricks the notebook writes `format('delta')` automatically. Save as a table instead: `cat3.write.mode('overwrite').saveAsTable('northfield.llmops.catalog_clean')`; then `DESCRIBE HISTORY northfield.llmops.catalog_clean` to show versioning.</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60</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12</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L13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2026-09-12T08:25:13.022Z</dcterms:created>
  <dcterms:modified xsi:type="dcterms:W3CDTF">2026-09-12T08:25:13.022Z</dcterms:modified>
</cp:coreProperties>
</file>

<file path=docProps/custom.xml><?xml version="1.0" encoding="utf-8"?>
<Properties xmlns="http://schemas.openxmlformats.org/officeDocument/2006/custom-properties" xmlns:vt="http://schemas.openxmlformats.org/officeDocument/2006/docPropsVTypes"/>
</file>