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L14 · OBJECTIVE 10, 13, 16</w:t>
      </w:r>
    </w:p>
    <w:p>
      <w:pPr>
        <w:spacing w:after="70"/>
      </w:pPr>
      <w:r>
        <w:rPr>
          <w:rFonts w:ascii="Cambria" w:cs="Cambria" w:eastAsia="Cambria" w:hAnsi="Cambria"/>
          <w:b/>
          <w:bCs/>
          <w:color w:val="21295C"/>
          <w:sz w:val="40"/>
          <w:szCs w:val="40"/>
        </w:rPr>
        <w:t xml:space="preserve">L14 — Guardrails and structured outputs: input, retrieval and output gates</w:t>
      </w:r>
    </w:p>
    <w:p>
      <w:pPr>
        <w:pBdr>
          <w:bottom w:val="single" w:color="E0A800" w:sz="12" w:space="4"/>
        </w:pBdr>
        <w:spacing w:after="180"/>
      </w:pPr>
      <w:r>
        <w:rPr>
          <w:rFonts w:ascii="Calibri" w:cs="Calibri" w:eastAsia="Calibri" w:hAnsi="Calibri"/>
          <w:i/>
          <w:iCs/>
          <w:color w:val="065A82"/>
          <w:sz w:val="22"/>
          <w:szCs w:val="22"/>
        </w:rPr>
        <w:t xml:space="preserve">Build the three guardrail gates for the customer assistant — PII masking and injection detection at input, currency/trust filtering at retrieval, schema/claims/allergen-provenance validation at output — with every decision recorded on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labs/L14/L14_lab.ipynb (starter) · L14_solution.ipynb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input gate masks all planted PII and flags 5 injection probes; retrieval gate drops the stale SOP chunk; output gate rejects 3 planted bad outputs and passes 3 good ones; decisions recorded.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Blocking prompt-injection probes for staff discount codes · Masking customer phone numbers before a hosted model call · Refusing generated allergen claims not backed by the product master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Input gate: PII masking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customer's phone number or email must not reach a hosted model or the logs. Regex masking is the minimum (Presidio adds NER-based detection in production).</w:t>
      </w:r>
    </w:p>
    <w:p>
      <w:pPr>
        <w:pStyle w:val="Heading3"/>
        <w:spacing w:after="60" w:before="140"/>
      </w:pPr>
      <w:r>
        <w:rPr>
          <w:rFonts w:ascii="Cambria" w:cs="Cambria" w:eastAsia="Cambria" w:hAnsi="Cambria"/>
          <w:b/>
          <w:bCs/>
          <w:color w:val="1C7293"/>
          <w:sz w:val="23"/>
          <w:szCs w:val="23"/>
        </w:rPr>
        <w:t xml:space="preserve">Step 2 — Input gate: prompt-injection detection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model must not follow instructions hidden in user text. Pattern rules catch the obvious probes; production adds a classifier. Score, don't just block — the score goes on the response.</w:t>
      </w:r>
    </w:p>
    <w:p>
      <w:pPr>
        <w:pStyle w:val="Heading3"/>
        <w:spacing w:after="60" w:before="140"/>
      </w:pPr>
      <w:r>
        <w:rPr>
          <w:rFonts w:ascii="Cambria" w:cs="Cambria" w:eastAsia="Cambria" w:hAnsi="Cambria"/>
          <w:b/>
          <w:bCs/>
          <w:color w:val="1C7293"/>
          <w:sz w:val="23"/>
          <w:szCs w:val="23"/>
        </w:rPr>
        <w:t xml:space="preserve">Step 3 — Retrieval gate: trusted and current sources only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stale SOP (D8: the superseded 48-hour refund rule) must never be retrieved into a prompt. Filter by version currency and source trust before ranking.</w:t>
      </w:r>
    </w:p>
    <w:p>
      <w:pPr>
        <w:pStyle w:val="Heading3"/>
        <w:spacing w:after="60" w:before="140"/>
      </w:pPr>
      <w:r>
        <w:rPr>
          <w:rFonts w:ascii="Cambria" w:cs="Cambria" w:eastAsia="Cambria" w:hAnsi="Cambria"/>
          <w:b/>
          <w:bCs/>
          <w:color w:val="1C7293"/>
          <w:sz w:val="23"/>
          <w:szCs w:val="23"/>
        </w:rPr>
        <w:t xml:space="preserve">Step 4 — Output gate: schema, banned claims, allergen provenance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model's answer is a draft until validated. Three checks: (1) it parses to the expected JSON schema; (2) no regulated claim appears unless the product master carries the flag; (3) any allergen statement must cite the product master, never be generated.</w:t>
      </w:r>
    </w:p>
    <w:p>
      <w:pPr>
        <w:pStyle w:val="Heading3"/>
        <w:spacing w:after="60" w:before="140"/>
      </w:pPr>
      <w:r>
        <w:rPr>
          <w:rFonts w:ascii="Cambria" w:cs="Cambria" w:eastAsia="Cambria" w:hAnsi="Cambria"/>
          <w:b/>
          <w:bCs/>
          <w:color w:val="1C7293"/>
          <w:sz w:val="23"/>
          <w:szCs w:val="23"/>
        </w:rPr>
        <w:t xml:space="preserve">Step 5 — Gate decisions travel with the response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governance, QA and engineering each need a different signal from the same request. Assemble the response object the way the serving layer would.</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No GPU. Production equivalents: Microsoft Presidio for PII (NER-based), Guardrails AI / NeMo Guardrails for rails, provider structured outputs (JSON schema / tool calling) for format enforcement. Wire the three gate functions around the served endpoint from L07.</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L14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2026-09-12T08:25:13.053Z</dcterms:created>
  <dcterms:modified xsi:type="dcterms:W3CDTF">2026-09-12T08:25:13.053Z</dcterms:modified>
</cp:coreProperties>
</file>

<file path=docProps/custom.xml><?xml version="1.0" encoding="utf-8"?>
<Properties xmlns="http://schemas.openxmlformats.org/officeDocument/2006/custom-properties" xmlns:vt="http://schemas.openxmlformats.org/officeDocument/2006/docPropsVTypes"/>
</file>