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L15 · OBJECTIVE 5, 10</w:t>
      </w:r>
    </w:p>
    <w:p>
      <w:pPr>
        <w:spacing w:after="70"/>
      </w:pPr>
      <w:r>
        <w:rPr>
          <w:rFonts w:ascii="Cambria" w:cs="Cambria" w:eastAsia="Cambria" w:hAnsi="Cambria"/>
          <w:b/>
          <w:bCs/>
          <w:color w:val="21295C"/>
          <w:sz w:val="40"/>
          <w:szCs w:val="40"/>
        </w:rPr>
        <w:t xml:space="preserve">L15 — RAG for the store-ops assistant: retrieval, grounding and faithfulness evaluation</w:t>
      </w:r>
    </w:p>
    <w:p>
      <w:pPr>
        <w:pBdr>
          <w:bottom w:val="single" w:color="E0A800" w:sz="12" w:space="4"/>
        </w:pBdr>
        <w:spacing w:after="180"/>
      </w:pPr>
      <w:r>
        <w:rPr>
          <w:rFonts w:ascii="Calibri" w:cs="Calibri" w:eastAsia="Calibri" w:hAnsi="Calibri"/>
          <w:i/>
          <w:iCs/>
          <w:color w:val="065A82"/>
          <w:sz w:val="22"/>
          <w:szCs w:val="22"/>
        </w:rPr>
        <w:t xml:space="preserve">Index the SOP corpus, retrieve with a currency filter, answer with citations and an out-of-scope decline, then hand-roll faithfulness and answer relevancy on the store-ops golden set and catch a planted prompt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labs/L15/L15_lab.ipynb (starter) · L15_solution.ipynb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retrieval hits the right SOP area for ≥90% of golden questions; stale chunk never cited; out-of-scope declined; v4 prompt regression detected by faithfulness.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SOP and HR-policy Q&amp;A on associate handhelds with SOP-version citations · Catching a stale-index or prompt regression before associates act on it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Ingest the SOP chunks and build the index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index is an artefact: it carries the chunk ids, versions and effective dates that every answer will cite.</w:t>
      </w:r>
    </w:p>
    <w:p>
      <w:pPr>
        <w:pStyle w:val="Heading3"/>
        <w:spacing w:after="60" w:before="140"/>
      </w:pPr>
      <w:r>
        <w:rPr>
          <w:rFonts w:ascii="Cambria" w:cs="Cambria" w:eastAsia="Cambria" w:hAnsi="Cambria"/>
          <w:b/>
          <w:bCs/>
          <w:color w:val="1C7293"/>
          <w:sz w:val="23"/>
          <w:szCs w:val="23"/>
        </w:rPr>
        <w:t xml:space="preserve">Step 2 — Retrieve with a currency filter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L14's retrieval gate applied before ranking: superseded versions never reach the prompt.</w:t>
      </w:r>
    </w:p>
    <w:p>
      <w:pPr>
        <w:pStyle w:val="Heading3"/>
        <w:spacing w:after="60" w:before="140"/>
      </w:pPr>
      <w:r>
        <w:rPr>
          <w:rFonts w:ascii="Cambria" w:cs="Cambria" w:eastAsia="Cambria" w:hAnsi="Cambria"/>
          <w:b/>
          <w:bCs/>
          <w:color w:val="1C7293"/>
          <w:sz w:val="23"/>
          <w:szCs w:val="23"/>
        </w:rPr>
        <w:t xml:space="preserve">Step 3 — Build the prompt, generate, cite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prompt carries the question, the retrieved chunks and the instruction to answer only from them. In SMOKE mode the "model" is a deterministic extractive answerer; in GPU mode call the served model.</w:t>
      </w:r>
    </w:p>
    <w:p>
      <w:pPr>
        <w:pStyle w:val="Heading3"/>
        <w:spacing w:after="60" w:before="140"/>
      </w:pPr>
      <w:r>
        <w:rPr>
          <w:rFonts w:ascii="Cambria" w:cs="Cambria" w:eastAsia="Cambria" w:hAnsi="Cambria"/>
          <w:b/>
          <w:bCs/>
          <w:color w:val="1C7293"/>
          <w:sz w:val="23"/>
          <w:szCs w:val="23"/>
        </w:rPr>
        <w:t xml:space="preserve">Step 4 — Faithfulness and answer relevancy,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Ragas' faithfulness = fraction of answer claims supported by the context; answer relevancy = does the answer address the question. Implement deterministic versions (sentence-level support by lexical overlap; relevancy = expected phrase present) so the mechanics are clear before an LLM judge replaces them.</w:t>
      </w:r>
    </w:p>
    <w:p>
      <w:pPr>
        <w:pStyle w:val="Heading3"/>
        <w:spacing w:after="60" w:before="140"/>
      </w:pPr>
      <w:r>
        <w:rPr>
          <w:rFonts w:ascii="Cambria" w:cs="Cambria" w:eastAsia="Cambria" w:hAnsi="Cambria"/>
          <w:b/>
          <w:bCs/>
          <w:color w:val="1C7293"/>
          <w:sz w:val="23"/>
          <w:szCs w:val="23"/>
        </w:rPr>
        <w:t xml:space="preserve">Step 5 — The golden-set report the store-ops owner signs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deliverable is a per-area table that the function owner can read: which areas are weak, whether citations are present, and the version pair compared.</w:t>
      </w:r>
    </w:p>
    <w:p>
      <w:pPr>
        <w:pStyle w:val="Heading3"/>
        <w:spacing w:after="60" w:before="140"/>
      </w:pPr>
      <w:r>
        <w:rPr>
          <w:rFonts w:ascii="Cambria" w:cs="Cambria" w:eastAsia="Cambria" w:hAnsi="Cambria"/>
          <w:b/>
          <w:bCs/>
          <w:color w:val="1C7293"/>
          <w:sz w:val="23"/>
          <w:szCs w:val="23"/>
        </w:rPr>
        <w:t xml:space="preserve">Step 6 — Real embeddings and an LLM judge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replace TF-IDF with a sentence-embedding model and the deterministic judge with Ragas (faithfulness, answer_relevancy) using a judge model different from the serving model. Keep the golden set and the report format identical so the two runs are comparable.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Embeddings: `SentenceTransformer('&lt;agreed checkpoint&gt;').encode(sops.text, normalize_embeddings=True)`. Judge: `from ragas import evaluate; from ragas.metrics import faithfulness, answer_relevancy` on a Dataset with question/contexts/answer columns; set the judge LLM to a different provider/model than the serving model. APIs are version-sensitive.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L15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2026-09-12T08:25:13.080Z</dcterms:created>
  <dcterms:modified xsi:type="dcterms:W3CDTF">2026-09-12T08:25:13.080Z</dcterms:modified>
</cp:coreProperties>
</file>

<file path=docProps/custom.xml><?xml version="1.0" encoding="utf-8"?>
<Properties xmlns="http://schemas.openxmlformats.org/officeDocument/2006/custom-properties" xmlns:vt="http://schemas.openxmlformats.org/officeDocument/2006/docPropsVTypes"/>
</file>