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Calibri" w:cs="Calibri" w:eastAsia="Calibri" w:hAnsi="Calibri"/>
          <w:b/>
          <w:bCs/>
          <w:color w:val="1C7293"/>
          <w:sz w:val="18"/>
          <w:szCs w:val="18"/>
        </w:rPr>
        <w:t xml:space="preserve">LAB GUIDE · L17 · OBJECTIVE 2, 4, 15</w:t>
      </w:r>
    </w:p>
    <w:p>
      <w:pPr>
        <w:spacing w:after="70"/>
      </w:pPr>
      <w:r>
        <w:rPr>
          <w:rFonts w:ascii="Cambria" w:cs="Cambria" w:eastAsia="Cambria" w:hAnsi="Cambria"/>
          <w:b/>
          <w:bCs/>
          <w:color w:val="21295C"/>
          <w:sz w:val="40"/>
          <w:szCs w:val="40"/>
        </w:rPr>
        <w:t xml:space="preserve">L17 — Token economics, model routing and capacity planning</w:t>
      </w:r>
    </w:p>
    <w:p>
      <w:pPr>
        <w:pBdr>
          <w:bottom w:val="single" w:color="E0A800" w:sz="12" w:space="4"/>
        </w:pBdr>
        <w:spacing w:after="180"/>
      </w:pPr>
      <w:r>
        <w:rPr>
          <w:rFonts w:ascii="Calibri" w:cs="Calibri" w:eastAsia="Calibri" w:hAnsi="Calibri"/>
          <w:i/>
          <w:iCs/>
          <w:color w:val="065A82"/>
          <w:sz w:val="22"/>
          <w:szCs w:val="22"/>
        </w:rPr>
        <w:t xml:space="preserve">Cost per conversation for hosted, self-hosted and routed serving; break-even GPU utilisation; a small-model-first routing policy; and a replica plan from the Saturday and Christmas arrival curve — all formula-driven from measured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Field</w:t>
            </w:r>
          </w:p>
        </w:tc>
        <w:tc>
          <w:tcPr>
            <w:tcW w:type="dxa" w:w="696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Value</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Platform</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Both</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Compute SKU</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Standard_NC4as_T4_v3</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Duration</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1.5 h (of which ≈0 GPU-hours)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Files</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labs/L17/L17_lab.ipynb (starter) · L17_solution.ipynb · data/ folder</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Done means</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cost per conversation for three serving options; break-even utilisation found; routing 80% simple traffic cuts cost &gt;60%; replica plan grows with the arrival curve.</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Industry use cases</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Cost per resolved customer conversation for the finance review · GPU replica plan for Saturday and holiday peaks · Routing policy between a small self-hosted model and a hosted frontier model</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Build test status</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Executed in SMOKE mode: 4 checks PASS; starter compiles</w:t>
            </w:r>
          </w:p>
        </w:tc>
      </w:tr>
    </w:tbl>
    <w:p>
      <w:pPr>
        <w:spacing w:after="60"/>
      </w:pPr>
      <w:r>
        <w:rPr>
          <w:rFonts w:ascii="Calibri" w:cs="Calibri" w:eastAsia="Calibri" w:hAnsi="Calibri"/>
          <w:sz w:val="22"/>
          <w:szCs w:val="22"/>
        </w:rPr>
        <w:t xml:space="preserve"/>
      </w:r>
    </w:p>
    <w:p>
      <w:pPr>
        <w:pStyle w:val="Heading1"/>
        <w:spacing w:after="130" w:before="300"/>
      </w:pPr>
      <w:r>
        <w:rPr>
          <w:rFonts w:ascii="Cambria" w:cs="Cambria" w:eastAsia="Cambria" w:hAnsi="Cambria"/>
          <w:b/>
          <w:bCs/>
          <w:color w:val="21295C"/>
          <w:sz w:val="30"/>
          <w:szCs w:val="30"/>
        </w:rPr>
        <w:t xml:space="preserve">1. Before you start</w:t>
      </w:r>
    </w:p>
    <w:p>
      <w:pPr>
        <w:pStyle w:val="ListParagraph"/>
        <w:numPr>
          <w:ilvl w:val="0"/>
          <w:numId w:val="2"/>
        </w:numPr>
        <w:spacing w:after="60"/>
      </w:pPr>
      <w:r>
        <w:rPr>
          <w:rFonts w:ascii="Calibri" w:cs="Calibri" w:eastAsia="Calibri" w:hAnsi="Calibri"/>
          <w:sz w:val="22"/>
          <w:szCs w:val="22"/>
        </w:rPr>
        <w:t xml:space="preserve">Open the starter notebook on the compute named above; confirm the header cell prints LAB_MODE=GPU (on a GPU node) and finds DATA_DIR.</w:t>
      </w:r>
    </w:p>
    <w:p>
      <w:pPr>
        <w:pStyle w:val="ListParagraph"/>
        <w:numPr>
          <w:ilvl w:val="0"/>
          <w:numId w:val="2"/>
        </w:numPr>
        <w:spacing w:after="60"/>
      </w:pPr>
      <w:r>
        <w:rPr>
          <w:rFonts w:ascii="Calibri" w:cs="Calibri" w:eastAsia="Calibri" w:hAnsi="Calibri"/>
          <w:sz w:val="22"/>
          <w:szCs w:val="22"/>
        </w:rPr>
        <w:t xml:space="preserve">Every code cell that ends with check(...) is an acceptance test: it prints PASS or stops the notebook. Do not edit the check lines.</w:t>
      </w:r>
    </w:p>
    <w:p>
      <w:pPr>
        <w:pStyle w:val="ListParagraph"/>
        <w:numPr>
          <w:ilvl w:val="0"/>
          <w:numId w:val="2"/>
        </w:numPr>
        <w:spacing w:after="60"/>
      </w:pPr>
      <w:r>
        <w:rPr>
          <w:rFonts w:ascii="Calibri" w:cs="Calibri" w:eastAsia="Calibri" w:hAnsi="Calibri"/>
          <w:sz w:val="22"/>
          <w:szCs w:val="22"/>
        </w:rPr>
        <w:t xml:space="preserve">TODO blocks in the starter carry a one-line hint. The solution notebook is released after the session — attempt first.</w:t>
      </w:r>
    </w:p>
    <w:p>
      <w:pPr>
        <w:pStyle w:val="Heading1"/>
        <w:spacing w:after="130" w:before="300"/>
      </w:pPr>
      <w:r>
        <w:rPr>
          <w:rFonts w:ascii="Cambria" w:cs="Cambria" w:eastAsia="Cambria" w:hAnsi="Cambria"/>
          <w:b/>
          <w:bCs/>
          <w:color w:val="21295C"/>
          <w:sz w:val="30"/>
          <w:szCs w:val="30"/>
        </w:rPr>
        <w:t xml:space="preserve">2. Steps</w:t>
      </w:r>
    </w:p>
    <w:p>
      <w:pPr>
        <w:spacing w:after="110"/>
      </w:pPr>
      <w:r>
        <w:rPr>
          <w:rFonts w:ascii="Calibri" w:cs="Calibri" w:eastAsia="Calibri" w:hAnsi="Calibri"/>
          <w:sz w:val="22"/>
          <w:szCs w:val="22"/>
        </w:rPr>
        <w:t xml:space="preserve">Each step below mirrors a section of the notebook. "Why" is the concept, "What" is the task, "Watch" is the common mistake.</w:t>
      </w:r>
    </w:p>
    <w:p>
      <w:pPr>
        <w:pStyle w:val="Heading3"/>
        <w:spacing w:after="60" w:before="140"/>
      </w:pPr>
      <w:r>
        <w:rPr>
          <w:rFonts w:ascii="Cambria" w:cs="Cambria" w:eastAsia="Cambria" w:hAnsi="Cambria"/>
          <w:b/>
          <w:bCs/>
          <w:color w:val="1C7293"/>
          <w:sz w:val="23"/>
          <w:szCs w:val="23"/>
        </w:rPr>
        <w:t xml:space="preserve">Step 1 — Conversation token profile from the request mix</w:t>
      </w:r>
    </w:p>
    <w:p>
      <w:pPr>
        <w:pStyle w:val="Heading3"/>
        <w:spacing w:after="60" w:before="140"/>
      </w:pPr>
      <w:r>
        <w:rPr>
          <w:rFonts w:ascii="Cambria" w:cs="Cambria" w:eastAsia="Cambria" w:hAnsi="Cambria"/>
          <w:b/>
          <w:bCs/>
          <w:color w:val="1C7293"/>
          <w:sz w:val="23"/>
          <w:szCs w:val="23"/>
        </w:rPr>
        <w:t xml:space="preserve">Step 2 — Hosted cost per conversation</w:t>
      </w:r>
    </w:p>
    <w:p>
      <w:pPr>
        <w:spacing w:after="110"/>
      </w:pPr>
      <w:r>
        <w:rPr>
          <w:rFonts w:ascii="Calibri" w:cs="Calibri" w:eastAsia="Calibri" w:hAnsi="Calibri"/>
          <w:b/>
          <w:bCs/>
          <w:color w:val="065A82"/>
          <w:sz w:val="22"/>
          <w:szCs w:val="22"/>
        </w:rPr>
        <w:t xml:space="preserve">Watch: </w:t>
      </w:r>
      <w:r>
        <w:rPr>
          <w:rFonts w:ascii="Calibri" w:cs="Calibri" w:eastAsia="Calibri" w:hAnsi="Calibri"/>
          <w:sz w:val="22"/>
          <w:szCs w:val="22"/>
        </w:rPr>
        <w:t xml:space="preserve">prices are placeholders; use the provider's list on the day.</w:t>
      </w:r>
    </w:p>
    <w:p>
      <w:pPr>
        <w:pStyle w:val="Heading3"/>
        <w:spacing w:after="60" w:before="140"/>
      </w:pPr>
      <w:r>
        <w:rPr>
          <w:rFonts w:ascii="Cambria" w:cs="Cambria" w:eastAsia="Cambria" w:hAnsi="Cambria"/>
          <w:b/>
          <w:bCs/>
          <w:color w:val="1C7293"/>
          <w:sz w:val="23"/>
          <w:szCs w:val="23"/>
        </w:rPr>
        <w:t xml:space="preserve">Step 3 — Self-hosted cost per conversation and break-even utilisation</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a GPU costs the same idle or busy. Cost per conversation = GPU $/hr ÷ conversations per hour at the utilisation you actually achieve.</w:t>
      </w:r>
    </w:p>
    <w:p>
      <w:pPr>
        <w:pStyle w:val="Heading3"/>
        <w:spacing w:after="60" w:before="140"/>
      </w:pPr>
      <w:r>
        <w:rPr>
          <w:rFonts w:ascii="Cambria" w:cs="Cambria" w:eastAsia="Cambria" w:hAnsi="Cambria"/>
          <w:b/>
          <w:bCs/>
          <w:color w:val="1C7293"/>
          <w:sz w:val="23"/>
          <w:szCs w:val="23"/>
        </w:rPr>
        <w:t xml:space="preserve">Step 4 — Routing policy: small model first, frontier for the hard 20%</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most shopping questions are simple (stock, aisle, price). Route by a cheap classifier; escalate the rest. Compute blended cost.</w:t>
      </w:r>
    </w:p>
    <w:p>
      <w:pPr>
        <w:pStyle w:val="Heading3"/>
        <w:spacing w:after="60" w:before="140"/>
      </w:pPr>
      <w:r>
        <w:rPr>
          <w:rFonts w:ascii="Cambria" w:cs="Cambria" w:eastAsia="Cambria" w:hAnsi="Cambria"/>
          <w:b/>
          <w:bCs/>
          <w:color w:val="1C7293"/>
          <w:sz w:val="23"/>
          <w:szCs w:val="23"/>
        </w:rPr>
        <w:t xml:space="preserve">Step 5 — Capacity plan for the peak</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replicas are sized on the arrival curve, not the average. Saturday 10:00 ≈ 4× Tuesday 15:00; Christmas week ≈ 2× a normal Saturday.</w:t>
      </w:r>
    </w:p>
    <w:p>
      <w:pPr>
        <w:pStyle w:val="Heading2"/>
        <w:spacing w:after="90" w:before="200"/>
      </w:pPr>
      <w:r>
        <w:rPr>
          <w:rFonts w:ascii="Cambria" w:cs="Cambria" w:eastAsia="Cambria" w:hAnsi="Cambria"/>
          <w:b/>
          <w:bCs/>
          <w:color w:val="065A82"/>
          <w:sz w:val="25"/>
          <w:szCs w:val="25"/>
        </w:rPr>
        <w:t xml:space="preserve">Additional platform notes</w:t>
      </w:r>
    </w:p>
    <w:p>
      <w:pPr>
        <w:spacing w:after="110"/>
      </w:pPr>
      <w:r>
        <w:rPr>
          <w:rFonts w:ascii="Calibri" w:cs="Calibri" w:eastAsia="Calibri" w:hAnsi="Calibri"/>
          <w:b/>
          <w:bCs/>
          <w:sz w:val="22"/>
          <w:szCs w:val="22"/>
        </w:rPr>
        <w:t xml:space="preserve">Note: </w:t>
      </w:r>
      <w:r>
        <w:rPr>
          <w:rFonts w:ascii="Calibri" w:cs="Calibri" w:eastAsia="Calibri" w:hAnsi="Calibri"/>
          <w:sz w:val="22"/>
          <w:szCs w:val="22"/>
        </w:rPr>
        <w:t xml:space="preserve">Replace PLACEHOLDER rates with the provider's current price list and `measured_tok_s` with the L03 harness result at target concurrency on the chosen SKU; keep the formulas.</w:t>
      </w:r>
    </w:p>
    <w:p>
      <w:pPr>
        <w:pStyle w:val="Heading1"/>
        <w:spacing w:after="130" w:before="300"/>
      </w:pPr>
      <w:r>
        <w:rPr>
          <w:rFonts w:ascii="Cambria" w:cs="Cambria" w:eastAsia="Cambria" w:hAnsi="Cambria"/>
          <w:b/>
          <w:bCs/>
          <w:color w:val="21295C"/>
          <w:sz w:val="30"/>
          <w:szCs w:val="30"/>
        </w:rPr>
        <w:t xml:space="preserve">3. Version-sensitive items in this lab</w:t>
      </w:r>
    </w:p>
    <w:p>
      <w:pPr>
        <w:spacing w:after="110"/>
      </w:pPr>
      <w:r>
        <w:rPr>
          <w:rFonts w:ascii="Calibri" w:cs="Calibri" w:eastAsia="Calibri" w:hAnsi="Calibri"/>
          <w:i/>
          <w:iCs/>
          <w:sz w:val="22"/>
          <w:szCs w:val="22"/>
        </w:rPr>
        <w:t xml:space="preserve">Commands and API names quoted in the platform notes were correct as of the build date but change frequently. Before delivery run each GPU step on the pinned runtime and record library versions in the Facilitator Guide register.</w:t>
      </w:r>
    </w:p>
    <w:p>
      <w:pPr>
        <w:pStyle w:val="Heading1"/>
        <w:spacing w:after="130" w:before="300"/>
      </w:pPr>
      <w:r>
        <w:rPr>
          <w:rFonts w:ascii="Cambria" w:cs="Cambria" w:eastAsia="Cambria" w:hAnsi="Cambria"/>
          <w:b/>
          <w:bCs/>
          <w:color w:val="21295C"/>
          <w:sz w:val="30"/>
          <w:szCs w:val="30"/>
        </w:rPr>
        <w:t xml:space="preserve">4.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500"/>
        <w:gridCol w:w="4860"/>
      </w:tblGrid>
      <w:tr>
        <w:trPr>
          <w:tblHeader/>
        </w:trPr>
        <w:tc>
          <w:tcPr>
            <w:tcW w:type="dxa" w:w="30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Block</w:t>
            </w:r>
          </w:p>
        </w:tc>
        <w:tc>
          <w:tcPr>
            <w:tcW w:type="dxa" w:w="15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Minutes</w:t>
            </w:r>
          </w:p>
        </w:tc>
        <w:tc>
          <w:tcPr>
            <w:tcW w:type="dxa" w:w="486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Notes</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Intro + concept</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18</w:t>
            </w:r>
          </w:p>
        </w:tc>
        <w:tc>
          <w:tcPr>
            <w:tcW w:type="dxa" w:w="4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Trainer-led, hand-rolled algorithm on screen</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Individual build</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45</w:t>
            </w:r>
          </w:p>
        </w:tc>
        <w:tc>
          <w:tcPr>
            <w:tcW w:type="dxa" w:w="48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Starter notebook; hints at the halfway point</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GPU steps / team extension</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18</w:t>
            </w:r>
          </w:p>
        </w:tc>
        <w:tc>
          <w:tcPr>
            <w:tcW w:type="dxa" w:w="4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Real model or platform step; teams of 3–4</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Review</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9</w:t>
            </w:r>
          </w:p>
        </w:tc>
        <w:tc>
          <w:tcPr>
            <w:tcW w:type="dxa" w:w="48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One team demos; done-means checked live</w:t>
            </w:r>
          </w:p>
        </w:tc>
      </w:tr>
    </w:tbl>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LLMOps Advanced Labs · L17 Lab Guide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2026-09-12T08:25:13.133Z</dcterms:created>
  <dcterms:modified xsi:type="dcterms:W3CDTF">2026-09-12T08:25:13.133Z</dcterms:modified>
</cp:coreProperties>
</file>

<file path=docProps/custom.xml><?xml version="1.0" encoding="utf-8"?>
<Properties xmlns="http://schemas.openxmlformats.org/officeDocument/2006/custom-properties" xmlns:vt="http://schemas.openxmlformats.org/officeDocument/2006/docPropsVTypes"/>
</file>