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left="0"/>
        <w:jc w:val="right"/>
      </w:pPr>
      <w:r>
        <w:rPr>
          <w:rFonts w:ascii="游ゴシック" w:hAnsi="游ゴシック" w:eastAsia="游ゴシック"/>
          <w:b w:val="0"/>
          <w:highlight w:val="yellow"/>
        </w:rPr>
        <w:t>黄色ハイライト＝送信前にご確認・修正いただく箇所</w:t>
      </w:r>
    </w:p>
    <w:p>
      <w:pPr>
        <w:spacing w:before="0" w:after="200"/>
        <w:ind w:left="0"/>
      </w:pPr>
      <w:r>
        <w:rPr>
          <w:rFonts w:ascii="游ゴシック" w:hAnsi="游ゴシック" w:eastAsia="游ゴシック"/>
          <w:b/>
        </w:rPr>
        <w:t>件名：</w:t>
      </w:r>
      <w:r>
        <w:rPr>
          <w:rFonts w:ascii="游ゴシック" w:hAnsi="游ゴシック" w:eastAsia="游ゴシック"/>
          <w:b w:val="0"/>
        </w:rPr>
        <w:t>【ご報告】10月28日実績連絡会を受けた改善策について（ひばりが丘）</w:t>
      </w:r>
    </w:p>
    <w:p>
      <w:pPr>
        <w:spacing w:before="0" w:after="120"/>
        <w:ind w:left="0"/>
      </w:pPr>
      <w:r>
        <w:rPr>
          <w:rFonts w:ascii="游ゴシック" w:hAnsi="游ゴシック" w:eastAsia="游ゴシック"/>
          <w:b w:val="0"/>
        </w:rPr>
        <w:t>理事長</w:t>
      </w:r>
    </w:p>
    <w:p>
      <w:pPr>
        <w:spacing w:before="0" w:after="40"/>
        <w:ind w:left="0"/>
      </w:pPr>
      <w:r>
        <w:rPr>
          <w:rFonts w:ascii="游ゴシック" w:hAnsi="游ゴシック" w:eastAsia="游ゴシック"/>
          <w:b w:val="0"/>
        </w:rPr>
        <w:t>お疲れ様です。ひばりが丘 院長の</w:t>
      </w:r>
      <w:r>
        <w:rPr>
          <w:rFonts w:ascii="游ゴシック" w:hAnsi="游ゴシック" w:eastAsia="游ゴシック"/>
          <w:b w:val="0"/>
          <w:highlight w:val="yellow"/>
        </w:rPr>
        <w:t>〇〇</w:t>
      </w:r>
      <w:r>
        <w:rPr>
          <w:rFonts w:ascii="游ゴシック" w:hAnsi="游ゴシック" w:eastAsia="游ゴシック"/>
          <w:b w:val="0"/>
        </w:rPr>
        <w:t>です。</w:t>
      </w:r>
    </w:p>
    <w:p>
      <w:pPr>
        <w:spacing w:before="0" w:after="40"/>
        <w:ind w:left="0"/>
      </w:pPr>
      <w:r>
        <w:rPr>
          <w:rFonts w:ascii="游ゴシック" w:hAnsi="游ゴシック" w:eastAsia="游ゴシック"/>
          <w:b w:val="0"/>
        </w:rPr>
        <w:t>10月28日の実績連絡会では、ご指導いただきありがとうございました。</w:t>
      </w:r>
    </w:p>
    <w:p>
      <w:pPr>
        <w:spacing w:before="0" w:after="120"/>
        <w:ind w:left="0"/>
      </w:pPr>
      <w:r>
        <w:rPr>
          <w:rFonts w:ascii="游ゴシック" w:hAnsi="游ゴシック" w:eastAsia="游ゴシック"/>
          <w:b w:val="0"/>
        </w:rPr>
        <w:t>ご指摘を踏まえ、現状・課題・改善策を以下のとおり整理いたしましたので、ご報告いたします。</w:t>
      </w:r>
    </w:p>
    <w:tbl>
      <w:tblPr>
        <w:tblStyle w:val="TableGrid"/>
        <w:tblW w:type="auto" w:w="0"/>
        <w:jc w:val="center"/>
        <w:tblLook w:firstColumn="1" w:firstRow="1" w:lastColumn="0" w:lastRow="0" w:noHBand="0" w:noVBand="1" w:val="04A0"/>
      </w:tblPr>
      <w:tblGrid>
        <w:gridCol w:w="9638"/>
      </w:tblGrid>
      <w:tr>
        <w:tc>
          <w:tcPr>
            <w:tcW w:type="dxa" w:w="9638"/>
            <w:shd w:val="clear" w:fill="EEF3F8"/>
          </w:tcPr>
          <w:p>
            <w:r/>
            <w:r>
              <w:rPr>
                <w:rFonts w:ascii="游ゴシック" w:hAnsi="游ゴシック" w:eastAsia="游ゴシック"/>
                <w:b/>
              </w:rPr>
              <w:t>要旨</w:t>
            </w:r>
          </w:p>
          <w:p>
            <w:pPr>
              <w:ind w:left="198" w:hanging="198"/>
            </w:pPr>
            <w:r>
              <w:rPr>
                <w:rFonts w:ascii="游ゴシック" w:hAnsi="游ゴシック" w:eastAsia="游ゴシック"/>
                <w:b w:val="0"/>
              </w:rPr>
              <w:t>・新規居宅患者は目標10名に対し7名、在籍患者数は4月比で21名減（−4.0%）となり、現状維持にとどまっています。</w:t>
            </w:r>
          </w:p>
          <w:p>
            <w:pPr>
              <w:ind w:left="198" w:hanging="198"/>
            </w:pPr>
            <w:r>
              <w:rPr>
                <w:rFonts w:ascii="游ゴシック" w:hAnsi="游ゴシック" w:eastAsia="游ゴシック"/>
                <w:b w:val="0"/>
              </w:rPr>
              <w:t>・原因は ①ケアマネジャー・訪問看護師との接点不足、②施設側から見た当院の受入枠の限界、③居宅分野での他院との差別化不足 と考えています。</w:t>
            </w:r>
          </w:p>
          <w:p>
            <w:pPr>
              <w:ind w:left="198" w:hanging="198"/>
            </w:pPr>
            <w:r>
              <w:rPr>
                <w:rFonts w:ascii="游ゴシック" w:hAnsi="游ゴシック" w:eastAsia="游ゴシック"/>
                <w:b w:val="0"/>
              </w:rPr>
              <w:t>・最優先で「外部との接点を増やすこと（院内勉強会の定例化など）」に取り組み、毎月の実績連絡会で進捗をご報告します。</w:t>
            </w:r>
          </w:p>
        </w:tc>
      </w:tr>
    </w:tbl>
    <w:p>
      <w:pPr>
        <w:spacing w:before="200" w:after="80"/>
        <w:ind w:left="0"/>
      </w:pPr>
      <w:r>
        <w:rPr>
          <w:rFonts w:ascii="游ゴシック" w:hAnsi="游ゴシック" w:eastAsia="游ゴシック"/>
          <w:b/>
          <w:color w:val="1F3A5F"/>
          <w:sz w:val="24"/>
        </w:rPr>
        <w:t>1．現状</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予算達成率：</w:t>
      </w:r>
      <w:r>
        <w:rPr>
          <w:rFonts w:ascii="游ゴシック" w:hAnsi="游ゴシック" w:eastAsia="游ゴシック"/>
          <w:b/>
        </w:rPr>
        <w:t>90.9%</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新規居宅患者：</w:t>
      </w:r>
      <w:r>
        <w:rPr>
          <w:rFonts w:ascii="游ゴシック" w:hAnsi="游ゴシック" w:eastAsia="游ゴシック"/>
          <w:b/>
        </w:rPr>
        <w:t>7名</w:t>
      </w:r>
      <w:r>
        <w:rPr>
          <w:rFonts w:ascii="游ゴシック" w:hAnsi="游ゴシック" w:eastAsia="游ゴシック"/>
          <w:b w:val="0"/>
        </w:rPr>
        <w:t>（目標10名・達成率70%。前月比では増加）</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在籍患者数の推移</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val="clear" w:fill="DCE6F0"/>
          </w:tcPr>
          <w:p>
            <w:pPr>
              <w:jc w:val="center"/>
            </w:pPr>
            <w:r>
              <w:rPr>
                <w:rFonts w:ascii="游ゴシック" w:hAnsi="游ゴシック" w:eastAsia="游ゴシック"/>
                <w:b/>
              </w:rPr>
              <w:t>区分</w:t>
            </w:r>
          </w:p>
        </w:tc>
        <w:tc>
          <w:tcPr>
            <w:tcW w:type="dxa" w:w="1587"/>
            <w:shd w:val="clear" w:fill="DCE6F0"/>
          </w:tcPr>
          <w:p>
            <w:pPr>
              <w:jc w:val="center"/>
            </w:pPr>
            <w:r>
              <w:rPr>
                <w:rFonts w:ascii="游ゴシック" w:hAnsi="游ゴシック" w:eastAsia="游ゴシック"/>
                <w:b/>
              </w:rPr>
              <w:t>4月1日</w:t>
            </w:r>
          </w:p>
        </w:tc>
        <w:tc>
          <w:tcPr>
            <w:tcW w:type="dxa" w:w="1587"/>
            <w:shd w:val="clear" w:fill="DCE6F0"/>
          </w:tcPr>
          <w:p>
            <w:pPr>
              <w:jc w:val="center"/>
            </w:pPr>
            <w:r>
              <w:rPr>
                <w:rFonts w:ascii="游ゴシック" w:hAnsi="游ゴシック" w:eastAsia="游ゴシック"/>
                <w:b/>
              </w:rPr>
              <w:t>10月28日</w:t>
            </w:r>
          </w:p>
        </w:tc>
        <w:tc>
          <w:tcPr>
            <w:tcW w:type="dxa" w:w="1587"/>
            <w:shd w:val="clear" w:fill="DCE6F0"/>
          </w:tcPr>
          <w:p>
            <w:pPr>
              <w:jc w:val="center"/>
            </w:pPr>
            <w:r>
              <w:rPr>
                <w:rFonts w:ascii="游ゴシック" w:hAnsi="游ゴシック" w:eastAsia="游ゴシック"/>
                <w:b/>
              </w:rPr>
              <w:t>増減</w:t>
            </w:r>
          </w:p>
        </w:tc>
        <w:tc>
          <w:tcPr>
            <w:tcW w:type="dxa" w:w="1587"/>
            <w:shd w:val="clear" w:fill="DCE6F0"/>
          </w:tcPr>
          <w:p>
            <w:pPr>
              <w:jc w:val="center"/>
            </w:pPr>
            <w:r>
              <w:rPr>
                <w:rFonts w:ascii="游ゴシック" w:hAnsi="游ゴシック" w:eastAsia="游ゴシック"/>
                <w:b/>
              </w:rPr>
              <w:t>増減率</w:t>
            </w:r>
          </w:p>
        </w:tc>
      </w:tr>
      <w:tr>
        <w:tc>
          <w:tcPr>
            <w:tcW w:type="dxa" w:w="1587"/>
          </w:tcPr>
          <w:p>
            <w:pPr>
              <w:jc w:val="center"/>
            </w:pPr>
            <w:r>
              <w:rPr>
                <w:rFonts w:ascii="游ゴシック" w:hAnsi="游ゴシック" w:eastAsia="游ゴシック"/>
                <w:b w:val="0"/>
              </w:rPr>
              <w:t>施設</w:t>
            </w:r>
          </w:p>
        </w:tc>
        <w:tc>
          <w:tcPr>
            <w:tcW w:type="dxa" w:w="1587"/>
          </w:tcPr>
          <w:p>
            <w:pPr>
              <w:jc w:val="center"/>
            </w:pPr>
            <w:r>
              <w:rPr>
                <w:rFonts w:ascii="游ゴシック" w:hAnsi="游ゴシック" w:eastAsia="游ゴシック"/>
                <w:b w:val="0"/>
              </w:rPr>
              <w:t>398名</w:t>
            </w:r>
          </w:p>
        </w:tc>
        <w:tc>
          <w:tcPr>
            <w:tcW w:type="dxa" w:w="1587"/>
          </w:tcPr>
          <w:p>
            <w:pPr>
              <w:jc w:val="center"/>
            </w:pPr>
            <w:r>
              <w:rPr>
                <w:rFonts w:ascii="游ゴシック" w:hAnsi="游ゴシック" w:eastAsia="游ゴシック"/>
                <w:b w:val="0"/>
              </w:rPr>
              <w:t>380名</w:t>
            </w:r>
          </w:p>
        </w:tc>
        <w:tc>
          <w:tcPr>
            <w:tcW w:type="dxa" w:w="1587"/>
          </w:tcPr>
          <w:p>
            <w:pPr>
              <w:jc w:val="center"/>
            </w:pPr>
            <w:r>
              <w:rPr>
                <w:rFonts w:ascii="游ゴシック" w:hAnsi="游ゴシック" w:eastAsia="游ゴシック"/>
                <w:b w:val="0"/>
              </w:rPr>
              <w:t>−18名</w:t>
            </w:r>
          </w:p>
        </w:tc>
        <w:tc>
          <w:tcPr>
            <w:tcW w:type="dxa" w:w="1587"/>
          </w:tcPr>
          <w:p>
            <w:pPr>
              <w:jc w:val="center"/>
            </w:pPr>
            <w:r>
              <w:rPr>
                <w:rFonts w:ascii="游ゴシック" w:hAnsi="游ゴシック" w:eastAsia="游ゴシック"/>
                <w:b w:val="0"/>
              </w:rPr>
              <w:t>−4.5%</w:t>
            </w:r>
          </w:p>
        </w:tc>
      </w:tr>
      <w:tr>
        <w:tc>
          <w:tcPr>
            <w:tcW w:type="dxa" w:w="1587"/>
          </w:tcPr>
          <w:p>
            <w:pPr>
              <w:jc w:val="center"/>
            </w:pPr>
            <w:r>
              <w:rPr>
                <w:rFonts w:ascii="游ゴシック" w:hAnsi="游ゴシック" w:eastAsia="游ゴシック"/>
                <w:b w:val="0"/>
              </w:rPr>
              <w:t>居宅</w:t>
            </w:r>
          </w:p>
        </w:tc>
        <w:tc>
          <w:tcPr>
            <w:tcW w:type="dxa" w:w="1587"/>
          </w:tcPr>
          <w:p>
            <w:pPr>
              <w:jc w:val="center"/>
            </w:pPr>
            <w:r>
              <w:rPr>
                <w:rFonts w:ascii="游ゴシック" w:hAnsi="游ゴシック" w:eastAsia="游ゴシック"/>
                <w:b w:val="0"/>
              </w:rPr>
              <w:t>128名</w:t>
            </w:r>
          </w:p>
        </w:tc>
        <w:tc>
          <w:tcPr>
            <w:tcW w:type="dxa" w:w="1587"/>
          </w:tcPr>
          <w:p>
            <w:pPr>
              <w:jc w:val="center"/>
            </w:pPr>
            <w:r>
              <w:rPr>
                <w:rFonts w:ascii="游ゴシック" w:hAnsi="游ゴシック" w:eastAsia="游ゴシック"/>
                <w:b w:val="0"/>
              </w:rPr>
              <w:t>126名</w:t>
            </w:r>
          </w:p>
        </w:tc>
        <w:tc>
          <w:tcPr>
            <w:tcW w:type="dxa" w:w="1587"/>
          </w:tcPr>
          <w:p>
            <w:pPr>
              <w:jc w:val="center"/>
            </w:pPr>
            <w:r>
              <w:rPr>
                <w:rFonts w:ascii="游ゴシック" w:hAnsi="游ゴシック" w:eastAsia="游ゴシック"/>
                <w:b w:val="0"/>
              </w:rPr>
              <w:t>−2名</w:t>
            </w:r>
          </w:p>
        </w:tc>
        <w:tc>
          <w:tcPr>
            <w:tcW w:type="dxa" w:w="1587"/>
          </w:tcPr>
          <w:p>
            <w:pPr>
              <w:jc w:val="center"/>
            </w:pPr>
            <w:r>
              <w:rPr>
                <w:rFonts w:ascii="游ゴシック" w:hAnsi="游ゴシック" w:eastAsia="游ゴシック"/>
                <w:b w:val="0"/>
              </w:rPr>
              <w:t>−1.6%</w:t>
            </w:r>
          </w:p>
        </w:tc>
      </w:tr>
      <w:tr>
        <w:tc>
          <w:tcPr>
            <w:tcW w:type="dxa" w:w="1587"/>
          </w:tcPr>
          <w:p>
            <w:pPr>
              <w:jc w:val="center"/>
            </w:pPr>
            <w:r>
              <w:rPr>
                <w:rFonts w:ascii="游ゴシック" w:hAnsi="游ゴシック" w:eastAsia="游ゴシック"/>
                <w:b w:val="0"/>
              </w:rPr>
              <w:t>がん医総</w:t>
            </w:r>
          </w:p>
        </w:tc>
        <w:tc>
          <w:tcPr>
            <w:tcW w:type="dxa" w:w="1587"/>
          </w:tcPr>
          <w:p>
            <w:pPr>
              <w:jc w:val="center"/>
            </w:pPr>
            <w:r>
              <w:rPr>
                <w:rFonts w:ascii="游ゴシック" w:hAnsi="游ゴシック" w:eastAsia="游ゴシック"/>
                <w:b w:val="0"/>
              </w:rPr>
              <w:t>2名</w:t>
            </w:r>
          </w:p>
        </w:tc>
        <w:tc>
          <w:tcPr>
            <w:tcW w:type="dxa" w:w="1587"/>
          </w:tcPr>
          <w:p>
            <w:pPr>
              <w:jc w:val="center"/>
            </w:pPr>
            <w:r>
              <w:rPr>
                <w:rFonts w:ascii="游ゴシック" w:hAnsi="游ゴシック" w:eastAsia="游ゴシック"/>
                <w:b w:val="0"/>
              </w:rPr>
              <w:t>1名</w:t>
            </w:r>
          </w:p>
        </w:tc>
        <w:tc>
          <w:tcPr>
            <w:tcW w:type="dxa" w:w="1587"/>
          </w:tcPr>
          <w:p>
            <w:pPr>
              <w:jc w:val="center"/>
            </w:pPr>
            <w:r>
              <w:rPr>
                <w:rFonts w:ascii="游ゴシック" w:hAnsi="游ゴシック" w:eastAsia="游ゴシック"/>
                <w:b w:val="0"/>
              </w:rPr>
              <w:t>−1名</w:t>
            </w:r>
          </w:p>
        </w:tc>
        <w:tc>
          <w:tcPr>
            <w:tcW w:type="dxa" w:w="1587"/>
          </w:tcPr>
          <w:p>
            <w:pPr>
              <w:jc w:val="center"/>
            </w:pPr>
            <w:r>
              <w:rPr>
                <w:rFonts w:ascii="游ゴシック" w:hAnsi="游ゴシック" w:eastAsia="游ゴシック"/>
                <w:b w:val="0"/>
              </w:rPr>
              <w:t>－</w:t>
            </w:r>
          </w:p>
        </w:tc>
      </w:tr>
      <w:tr>
        <w:tc>
          <w:tcPr>
            <w:tcW w:type="dxa" w:w="1587"/>
          </w:tcPr>
          <w:p>
            <w:pPr>
              <w:jc w:val="center"/>
            </w:pPr>
            <w:r>
              <w:rPr>
                <w:rFonts w:ascii="游ゴシック" w:hAnsi="游ゴシック" w:eastAsia="游ゴシック"/>
                <w:b/>
              </w:rPr>
              <w:t>合計</w:t>
            </w:r>
          </w:p>
        </w:tc>
        <w:tc>
          <w:tcPr>
            <w:tcW w:type="dxa" w:w="1587"/>
          </w:tcPr>
          <w:p>
            <w:pPr>
              <w:jc w:val="center"/>
            </w:pPr>
            <w:r>
              <w:rPr>
                <w:rFonts w:ascii="游ゴシック" w:hAnsi="游ゴシック" w:eastAsia="游ゴシック"/>
                <w:b/>
              </w:rPr>
              <w:t>528名</w:t>
            </w:r>
          </w:p>
        </w:tc>
        <w:tc>
          <w:tcPr>
            <w:tcW w:type="dxa" w:w="1587"/>
          </w:tcPr>
          <w:p>
            <w:pPr>
              <w:jc w:val="center"/>
            </w:pPr>
            <w:r>
              <w:rPr>
                <w:rFonts w:ascii="游ゴシック" w:hAnsi="游ゴシック" w:eastAsia="游ゴシック"/>
                <w:b/>
              </w:rPr>
              <w:t>507名</w:t>
            </w:r>
          </w:p>
        </w:tc>
        <w:tc>
          <w:tcPr>
            <w:tcW w:type="dxa" w:w="1587"/>
          </w:tcPr>
          <w:p>
            <w:pPr>
              <w:jc w:val="center"/>
            </w:pPr>
            <w:r>
              <w:rPr>
                <w:rFonts w:ascii="游ゴシック" w:hAnsi="游ゴシック" w:eastAsia="游ゴシック"/>
                <w:b/>
              </w:rPr>
              <w:t>−21名</w:t>
            </w:r>
          </w:p>
        </w:tc>
        <w:tc>
          <w:tcPr>
            <w:tcW w:type="dxa" w:w="1587"/>
          </w:tcPr>
          <w:p>
            <w:pPr>
              <w:jc w:val="center"/>
            </w:pPr>
            <w:r>
              <w:rPr>
                <w:rFonts w:ascii="游ゴシック" w:hAnsi="游ゴシック" w:eastAsia="游ゴシック"/>
                <w:b/>
              </w:rPr>
              <w:t>−4.0%</w:t>
            </w:r>
          </w:p>
        </w:tc>
      </w:tr>
    </w:tbl>
    <w:p>
      <w:pPr>
        <w:spacing w:before="0" w:after="40"/>
        <w:ind w:left="482" w:hanging="198"/>
      </w:pPr>
      <w:r>
        <w:rPr>
          <w:rFonts w:ascii="游ゴシック" w:hAnsi="游ゴシック" w:eastAsia="游ゴシック"/>
          <w:b w:val="0"/>
        </w:rPr>
        <w:t>・</w:t>
      </w:r>
      <w:r>
        <w:rPr>
          <w:rFonts w:ascii="游ゴシック" w:hAnsi="游ゴシック" w:eastAsia="游ゴシック"/>
          <w:b w:val="0"/>
        </w:rPr>
        <w:t>施設の減少18名のうち</w:t>
      </w:r>
      <w:r>
        <w:rPr>
          <w:rFonts w:ascii="游ゴシック" w:hAnsi="游ゴシック" w:eastAsia="游ゴシック"/>
          <w:b/>
        </w:rPr>
        <w:t>14名（約8割）が3施設に集中</w:t>
      </w:r>
      <w:r>
        <w:rPr>
          <w:rFonts w:ascii="游ゴシック" w:hAnsi="游ゴシック" w:eastAsia="游ゴシック"/>
          <w:b w:val="0"/>
        </w:rPr>
        <w:t>：ラヴィーレ朝霞 −5名、オウカス志木 −5名、ボンセジュール保谷 −4名</w:t>
      </w:r>
    </w:p>
    <w:p>
      <w:pPr>
        <w:spacing w:before="200" w:after="80"/>
        <w:ind w:left="0"/>
      </w:pPr>
      <w:r>
        <w:rPr>
          <w:rFonts w:ascii="游ゴシック" w:hAnsi="游ゴシック" w:eastAsia="游ゴシック"/>
          <w:b/>
          <w:color w:val="1F3A5F"/>
          <w:sz w:val="24"/>
        </w:rPr>
        <w:t>2．課題と原因</w:t>
      </w:r>
    </w:p>
    <w:p>
      <w:pPr>
        <w:spacing w:before="100" w:after="40"/>
        <w:ind w:left="113"/>
      </w:pPr>
      <w:r>
        <w:rPr>
          <w:rFonts w:ascii="游ゴシック" w:hAnsi="游ゴシック" w:eastAsia="游ゴシック"/>
          <w:b/>
        </w:rPr>
        <w:t>（1）外部との接点が不足している　→　新規居宅患者の未達</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医師がケアマネジャー・訪問看護師と直接顔を合わせる機会が少ない。</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院内勉強会（月2回目標）は日程調整ができず、実施できなかった月がある。</w:t>
      </w:r>
    </w:p>
    <w:p>
      <w:pPr>
        <w:spacing w:before="100" w:after="40"/>
        <w:ind w:left="113"/>
      </w:pPr>
      <w:r>
        <w:rPr>
          <w:rFonts w:ascii="游ゴシック" w:hAnsi="游ゴシック" w:eastAsia="游ゴシック"/>
          <w:b/>
        </w:rPr>
        <w:t>（2）施設患者が減少している　→　当院側の受入枠に原因がある可能性</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減少した3施設は、いずれも患者数が多く診察が予定時間を超えるため、診療スケジュールを調整してきた施設である。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ラヴィーレ朝霞・ボンセジュール保谷には診察時間の変更をお願いしてきたが、受け入れていただけていない。</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施設側が当院の受入枠に限界を感じ、新規入居者の紹介が当院以外に向いている可能性がある。</w:t>
      </w:r>
    </w:p>
    <w:p>
      <w:pPr>
        <w:spacing w:before="100" w:after="40"/>
        <w:ind w:left="113"/>
      </w:pPr>
      <w:r>
        <w:rPr>
          <w:rFonts w:ascii="游ゴシック" w:hAnsi="游ゴシック" w:eastAsia="游ゴシック"/>
          <w:b/>
        </w:rPr>
        <w:t>（3）他院との競合で選ばれていない</w:t>
      </w:r>
    </w:p>
    <w:p>
      <w:pPr>
        <w:spacing w:before="0" w:after="40"/>
        <w:ind w:left="482" w:hanging="198"/>
      </w:pPr>
      <w:r>
        <w:rPr>
          <w:rFonts w:ascii="游ゴシック" w:hAnsi="游ゴシック" w:eastAsia="游ゴシック"/>
          <w:b w:val="0"/>
        </w:rPr>
        <w:t>・</w:t>
      </w:r>
      <w:r>
        <w:rPr>
          <w:rFonts w:ascii="游ゴシック" w:hAnsi="游ゴシック" w:eastAsia="游ゴシック"/>
          <w:b/>
        </w:rPr>
        <w:t>市場は横ばい：</w:t>
      </w:r>
      <w:r>
        <w:rPr>
          <w:rFonts w:ascii="游ゴシック" w:hAnsi="游ゴシック" w:eastAsia="游ゴシック"/>
          <w:b w:val="0"/>
        </w:rPr>
        <w:t>西東京市の訪問診療利用者数は 2024年1,126人（307＋819）→ 2025年1,130人（340＋790）と、伸びが止まっている。</w:t>
      </w:r>
    </w:p>
    <w:p>
      <w:pPr>
        <w:spacing w:before="0" w:after="40"/>
        <w:ind w:left="482" w:hanging="198"/>
      </w:pPr>
      <w:r>
        <w:rPr>
          <w:rFonts w:ascii="游ゴシック" w:hAnsi="游ゴシック" w:eastAsia="游ゴシック"/>
          <w:b w:val="0"/>
        </w:rPr>
        <w:t>・</w:t>
      </w:r>
      <w:r>
        <w:rPr>
          <w:rFonts w:ascii="游ゴシック" w:hAnsi="游ゴシック" w:eastAsia="游ゴシック"/>
          <w:b/>
        </w:rPr>
        <w:t>競合は増加：</w:t>
      </w:r>
      <w:r>
        <w:rPr>
          <w:rFonts w:ascii="游ゴシック" w:hAnsi="游ゴシック" w:eastAsia="游ゴシック"/>
          <w:b w:val="0"/>
        </w:rPr>
        <w:t>診療範囲8km圏内に機能強化型在支診108院（過去4年で＋9%）、在支診全体230院（同＋2%）、在支病19院。</w:t>
      </w:r>
    </w:p>
    <w:p>
      <w:pPr>
        <w:spacing w:before="0" w:after="40"/>
        <w:ind w:left="482" w:hanging="198"/>
      </w:pPr>
      <w:r>
        <w:rPr>
          <w:rFonts w:ascii="游ゴシック" w:hAnsi="游ゴシック" w:eastAsia="游ゴシック"/>
          <w:b w:val="0"/>
        </w:rPr>
        <w:t>・</w:t>
      </w:r>
      <w:r>
        <w:rPr>
          <w:rFonts w:ascii="游ゴシック" w:hAnsi="游ゴシック" w:eastAsia="游ゴシック"/>
          <w:b/>
        </w:rPr>
        <w:t>当院の受療率は既に高い：</w:t>
      </w:r>
      <w:r>
        <w:rPr>
          <w:rFonts w:ascii="游ゴシック" w:hAnsi="游ゴシック" w:eastAsia="游ゴシック"/>
          <w:b w:val="0"/>
        </w:rPr>
        <w:t>18.0%（グループ平均16.6%）。診療圏の75歳以上人口は、グループ他院との中間点を考慮した推計で約96,700人。ここから更に伸ばすには、明確な強みが必要。</w:t>
      </w:r>
    </w:p>
    <w:p>
      <w:pPr>
        <w:spacing w:before="0" w:after="40"/>
        <w:ind w:left="482" w:hanging="198"/>
      </w:pPr>
      <w:r>
        <w:rPr>
          <w:rFonts w:ascii="游ゴシック" w:hAnsi="游ゴシック" w:eastAsia="游ゴシック"/>
          <w:b w:val="0"/>
        </w:rPr>
        <w:t>・</w:t>
      </w:r>
      <w:r>
        <w:rPr>
          <w:rFonts w:ascii="游ゴシック" w:hAnsi="游ゴシック" w:eastAsia="游ゴシック"/>
          <w:b/>
        </w:rPr>
        <w:t>「施設のクリニック」という印象：</w:t>
      </w:r>
      <w:r>
        <w:rPr>
          <w:rFonts w:ascii="游ゴシック" w:hAnsi="游ゴシック" w:eastAsia="游ゴシック"/>
          <w:b w:val="0"/>
        </w:rPr>
        <w:t>西東京市訪問診療連絡会（通常10〜14院参加）で各院長と意見交換したところ、他院はすべて居宅専門で、ほぼ全院がオンコール代行を使わず自院で対応している。施設対応をしているのは当グループのみで、にしのわやケアマネジャーには当院の施設対応の印象が強い。</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一般的に良い対応は他院もできており、それだけでは選ばれる理由にならない。</w:t>
      </w:r>
    </w:p>
    <w:p>
      <w:pPr>
        <w:spacing w:before="200" w:after="80"/>
        <w:ind w:left="0"/>
      </w:pPr>
      <w:r>
        <w:rPr>
          <w:rFonts w:ascii="游ゴシック" w:hAnsi="游ゴシック" w:eastAsia="游ゴシック"/>
          <w:b/>
          <w:color w:val="1F3A5F"/>
          <w:sz w:val="24"/>
        </w:rPr>
        <w:t>3．改善策</w:t>
      </w:r>
    </w:p>
    <w:p>
      <w:pPr>
        <w:spacing w:before="100" w:after="40"/>
        <w:ind w:left="113"/>
      </w:pPr>
      <w:r>
        <w:rPr>
          <w:rFonts w:ascii="游ゴシック" w:hAnsi="游ゴシック" w:eastAsia="游ゴシック"/>
          <w:b/>
        </w:rPr>
        <w:t>（1）【最優先】外部との接点の頻度を増やす</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院内勉強会：</w:t>
      </w:r>
      <w:r>
        <w:rPr>
          <w:rFonts w:ascii="游ゴシック" w:hAnsi="游ゴシック" w:eastAsia="游ゴシック"/>
          <w:b/>
        </w:rPr>
        <w:t>月2回を固定日程化</w:t>
      </w:r>
      <w:r>
        <w:rPr>
          <w:rFonts w:ascii="游ゴシック" w:hAnsi="游ゴシック" w:eastAsia="游ゴシック"/>
          <w:b w:val="0"/>
        </w:rPr>
        <w:t>し、</w:t>
      </w:r>
      <w:r>
        <w:rPr>
          <w:rFonts w:ascii="游ゴシック" w:hAnsi="游ゴシック" w:eastAsia="游ゴシック"/>
          <w:b w:val="0"/>
          <w:highlight w:val="yellow"/>
        </w:rPr>
        <w:t>3か月先</w:t>
      </w:r>
      <w:r>
        <w:rPr>
          <w:rFonts w:ascii="游ゴシック" w:hAnsi="游ゴシック" w:eastAsia="游ゴシック"/>
          <w:b w:val="0"/>
        </w:rPr>
        <w:t>まで日程を確定する。案内は開催1か月前に送付する。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院外勉強会：各地域での定期開催を継続する。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医師から居宅介護支援事業所・訪問看護ステーションへの電話報告を増やし、直接やり取りする機会をつくる。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10月講演会の参加者に</w:t>
      </w:r>
      <w:r>
        <w:rPr>
          <w:rFonts w:ascii="游ゴシック" w:hAnsi="游ゴシック" w:eastAsia="游ゴシック"/>
          <w:b w:val="0"/>
          <w:highlight w:val="yellow"/>
        </w:rPr>
        <w:t>2週間以内</w:t>
      </w:r>
      <w:r>
        <w:rPr>
          <w:rFonts w:ascii="游ゴシック" w:hAnsi="游ゴシック" w:eastAsia="游ゴシック"/>
          <w:b w:val="0"/>
        </w:rPr>
        <w:t>に個別連絡し、訪問や勉強会への参加につなげる。</w:t>
      </w:r>
    </w:p>
    <w:p>
      <w:pPr>
        <w:spacing w:before="100" w:after="40"/>
        <w:ind w:left="113"/>
      </w:pPr>
      <w:r>
        <w:rPr>
          <w:rFonts w:ascii="游ゴシック" w:hAnsi="游ゴシック" w:eastAsia="游ゴシック"/>
          <w:b/>
        </w:rPr>
        <w:t>（2）他院に負けない対応を一つずつ具体化する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電話対応：折り返しは</w:t>
      </w:r>
      <w:r>
        <w:rPr>
          <w:rFonts w:ascii="游ゴシック" w:hAnsi="游ゴシック" w:eastAsia="游ゴシック"/>
          <w:b w:val="0"/>
          <w:highlight w:val="yellow"/>
        </w:rPr>
        <w:t>当日中</w:t>
      </w:r>
      <w:r>
        <w:rPr>
          <w:rFonts w:ascii="游ゴシック" w:hAnsi="游ゴシック" w:eastAsia="游ゴシック"/>
          <w:b w:val="0"/>
        </w:rPr>
        <w:t>とするなどルールを決めて徹底する。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診療情報提供書：記載内容を充実させ、記載項目を統一する。</w:t>
      </w:r>
    </w:p>
    <w:p>
      <w:pPr>
        <w:spacing w:before="100" w:after="40"/>
        <w:ind w:left="113"/>
      </w:pPr>
      <w:r>
        <w:rPr>
          <w:rFonts w:ascii="游ゴシック" w:hAnsi="游ゴシック" w:eastAsia="游ゴシック"/>
          <w:b/>
        </w:rPr>
        <w:t>（3）施設患者の減少への対応</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減少した3施設へヒアリングを行い、受入枠・診察時間について施設側の考えを確認したうえで対応策を検討する（</w:t>
      </w:r>
      <w:r>
        <w:rPr>
          <w:rFonts w:ascii="游ゴシック" w:hAnsi="游ゴシック" w:eastAsia="游ゴシック"/>
          <w:b w:val="0"/>
          <w:highlight w:val="yellow"/>
        </w:rPr>
        <w:t>11月末</w:t>
      </w:r>
      <w:r>
        <w:rPr>
          <w:rFonts w:ascii="游ゴシック" w:hAnsi="游ゴシック" w:eastAsia="游ゴシック"/>
          <w:b w:val="0"/>
        </w:rPr>
        <w:t>まで）。</w:t>
      </w:r>
    </w:p>
    <w:p>
      <w:pPr>
        <w:spacing w:before="100" w:after="40"/>
        <w:ind w:left="113"/>
      </w:pPr>
      <w:r>
        <w:rPr>
          <w:rFonts w:ascii="游ゴシック" w:hAnsi="游ゴシック" w:eastAsia="游ゴシック"/>
          <w:b/>
        </w:rPr>
        <w:t>（4）地域の医療機関との関係づくりを継続する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開業医：西東京市訪問診療委員会に、2025年末より委員として参加している。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病院：病院の連絡会への参加を継続する。</w:t>
      </w:r>
    </w:p>
    <w:p>
      <w:pPr>
        <w:spacing w:before="100" w:after="40"/>
        <w:ind w:left="113"/>
      </w:pPr>
      <w:r>
        <w:rPr>
          <w:rFonts w:ascii="游ゴシック" w:hAnsi="游ゴシック" w:eastAsia="游ゴシック"/>
          <w:b/>
        </w:rPr>
        <w:t>（5）中長期：差別化できる強みをつくる</w:t>
      </w:r>
    </w:p>
    <w:p>
      <w:pPr>
        <w:spacing w:before="0" w:after="40"/>
        <w:ind w:left="482" w:hanging="198"/>
      </w:pPr>
      <w:r>
        <w:rPr>
          <w:rFonts w:ascii="游ゴシック" w:hAnsi="游ゴシック" w:eastAsia="游ゴシック"/>
          <w:b w:val="0"/>
        </w:rPr>
        <w:t>・</w:t>
      </w:r>
      <w:r>
        <w:rPr>
          <w:rFonts w:ascii="游ゴシック" w:hAnsi="游ゴシック" w:eastAsia="游ゴシック"/>
          <w:b w:val="0"/>
        </w:rPr>
        <w:t>訪問診療経験5年を目途に在宅専門医を取得するなど、居宅で「選ばれる理由」となる強みを検討する。</w:t>
      </w:r>
    </w:p>
    <w:p>
      <w:pPr>
        <w:spacing w:before="200" w:after="80"/>
        <w:ind w:left="0"/>
      </w:pPr>
      <w:r>
        <w:rPr>
          <w:rFonts w:ascii="游ゴシック" w:hAnsi="游ゴシック" w:eastAsia="游ゴシック"/>
          <w:b/>
          <w:color w:val="1F3A5F"/>
          <w:sz w:val="24"/>
        </w:rPr>
        <w:t>4．進捗のご報告</w:t>
      </w:r>
    </w:p>
    <w:p>
      <w:pPr>
        <w:spacing w:before="0" w:after="200"/>
        <w:ind w:left="113"/>
      </w:pPr>
      <w:r>
        <w:rPr>
          <w:rFonts w:ascii="游ゴシック" w:hAnsi="游ゴシック" w:eastAsia="游ゴシック"/>
          <w:b w:val="0"/>
        </w:rPr>
        <w:t>毎月の実績連絡会にて、院内勉強会の実施回数、新規居宅患者数、施設患者数の推移などをご報告いたします。</w:t>
      </w:r>
    </w:p>
    <w:p>
      <w:pPr>
        <w:spacing w:before="0" w:after="200"/>
        <w:ind w:left="0"/>
      </w:pPr>
      <w:r>
        <w:rPr>
          <w:rFonts w:ascii="游ゴシック" w:hAnsi="游ゴシック" w:eastAsia="游ゴシック"/>
          <w:b w:val="0"/>
        </w:rPr>
        <w:t>引き続きご指導のほど、よろしくお願いいたします。</w:t>
      </w:r>
    </w:p>
    <w:p>
      <w:pPr>
        <w:spacing w:before="0" w:after="40"/>
        <w:ind w:left="0"/>
        <w:jc w:val="right"/>
      </w:pPr>
      <w:r>
        <w:rPr>
          <w:rFonts w:ascii="游ゴシック" w:hAnsi="游ゴシック" w:eastAsia="游ゴシック"/>
          <w:b w:val="0"/>
        </w:rPr>
        <w:t xml:space="preserve">ひばりが丘　院長　</w:t>
      </w:r>
      <w:r>
        <w:rPr>
          <w:rFonts w:ascii="游ゴシック" w:hAnsi="游ゴシック" w:eastAsia="游ゴシック"/>
          <w:b w:val="0"/>
          <w:highlight w:val="yellow"/>
        </w:rPr>
        <w:t>〇〇</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88"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