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F9" w:rsidRPr="00A2606C" w:rsidRDefault="004B37F9" w:rsidP="004B37F9">
      <w:pPr>
        <w:jc w:val="center"/>
        <w:rPr>
          <w:b/>
        </w:rPr>
      </w:pPr>
      <w:bookmarkStart w:id="0" w:name="_GoBack"/>
      <w:bookmarkEnd w:id="0"/>
      <w:r>
        <w:rPr>
          <w:b/>
        </w:rPr>
        <w:t>ПРОТОКОЛ</w:t>
      </w:r>
    </w:p>
    <w:p w:rsidR="004B37F9" w:rsidRDefault="004B37F9" w:rsidP="004B37F9">
      <w:pPr>
        <w:jc w:val="center"/>
      </w:pPr>
      <w:r>
        <w:t>Заседание рабочей группы в рамках стратегической области сотрудничества «Устойчивое экономическое развитие» Рамочной программы по оказанию помощи Республике Беларусь на 2016-2020 годы</w:t>
      </w:r>
    </w:p>
    <w:p w:rsidR="004B37F9" w:rsidRDefault="00B079B0" w:rsidP="004B37F9">
      <w:pPr>
        <w:jc w:val="center"/>
      </w:pPr>
      <w:r w:rsidRPr="00FB25CE">
        <w:t>25</w:t>
      </w:r>
      <w:r w:rsidR="004B37F9">
        <w:t xml:space="preserve"> </w:t>
      </w:r>
      <w:r w:rsidR="004B37F9">
        <w:rPr>
          <w:lang w:val="be-BY"/>
        </w:rPr>
        <w:t>сентября</w:t>
      </w:r>
      <w:r w:rsidR="004B37F9">
        <w:t>, офис ПРООН, Кирова 17</w:t>
      </w:r>
    </w:p>
    <w:p w:rsidR="004B37F9" w:rsidRPr="00463C79" w:rsidRDefault="004B37F9" w:rsidP="004B37F9">
      <w:pPr>
        <w:rPr>
          <w:rFonts w:ascii="Calibri" w:hAnsi="Calibri" w:cs="Calibri"/>
          <w:b/>
          <w:sz w:val="24"/>
          <w:szCs w:val="24"/>
          <w:u w:val="single"/>
        </w:rPr>
      </w:pPr>
      <w:r w:rsidRPr="00463C79">
        <w:rPr>
          <w:rFonts w:ascii="Calibri" w:hAnsi="Calibri" w:cs="Calibri"/>
          <w:b/>
          <w:sz w:val="24"/>
          <w:szCs w:val="24"/>
          <w:u w:val="single"/>
        </w:rPr>
        <w:t>УЧАСТНИКИ:</w:t>
      </w:r>
    </w:p>
    <w:tbl>
      <w:tblPr>
        <w:tblW w:w="9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894"/>
      </w:tblGrid>
      <w:tr w:rsidR="004B37F9" w:rsidRPr="00463C79" w:rsidTr="00F04880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  <w:hideMark/>
          </w:tcPr>
          <w:p w:rsidR="004B37F9" w:rsidRPr="00463C79" w:rsidRDefault="004B37F9" w:rsidP="00F04880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Екатерина Паниклова</w:t>
            </w:r>
          </w:p>
        </w:tc>
        <w:tc>
          <w:tcPr>
            <w:tcW w:w="5894" w:type="dxa"/>
            <w:shd w:val="clear" w:color="auto" w:fill="auto"/>
            <w:noWrap/>
            <w:vAlign w:val="center"/>
            <w:hideMark/>
          </w:tcPr>
          <w:p w:rsidR="004B37F9" w:rsidRPr="000E7F6C" w:rsidRDefault="004B37F9" w:rsidP="00F0488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be-B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ПРООН</w:t>
            </w:r>
            <w:r w:rsidRPr="000E7F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e-BY"/>
              </w:rPr>
              <w:t xml:space="preserve"> сопредседатель рабочей группы со стороны страновой команды ООН в Беларуси</w:t>
            </w:r>
          </w:p>
        </w:tc>
      </w:tr>
      <w:tr w:rsidR="004B37F9" w:rsidRPr="00463C79" w:rsidTr="00F04880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</w:tcPr>
          <w:p w:rsidR="004B37F9" w:rsidRPr="00463C79" w:rsidRDefault="004B37F9" w:rsidP="00F04880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463C7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Георгий Плащинский</w:t>
            </w:r>
          </w:p>
        </w:tc>
        <w:tc>
          <w:tcPr>
            <w:tcW w:w="5894" w:type="dxa"/>
            <w:shd w:val="clear" w:color="auto" w:fill="auto"/>
            <w:noWrap/>
            <w:vAlign w:val="center"/>
          </w:tcPr>
          <w:p w:rsidR="004B37F9" w:rsidRPr="00454D2B" w:rsidRDefault="004B37F9" w:rsidP="00F0488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be-B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Офис координатора системы ООН в Беларуси</w:t>
            </w:r>
            <w:r w:rsidRPr="00454D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e-BY"/>
              </w:rPr>
              <w:t xml:space="preserve"> секретарь рабочей группы</w:t>
            </w:r>
          </w:p>
        </w:tc>
      </w:tr>
      <w:tr w:rsidR="004B37F9" w:rsidRPr="00463C79" w:rsidTr="00F04880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</w:tcPr>
          <w:p w:rsidR="004B37F9" w:rsidRPr="00FB31BB" w:rsidRDefault="004B37F9" w:rsidP="00F04880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be-BY"/>
              </w:rPr>
              <w:t>Здоров Денис</w:t>
            </w:r>
          </w:p>
        </w:tc>
        <w:tc>
          <w:tcPr>
            <w:tcW w:w="5894" w:type="dxa"/>
            <w:shd w:val="clear" w:color="auto" w:fill="auto"/>
            <w:noWrap/>
            <w:vAlign w:val="center"/>
          </w:tcPr>
          <w:p w:rsidR="004B37F9" w:rsidRPr="00FB25CE" w:rsidRDefault="004B37F9" w:rsidP="00F0488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3C7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Министерство иностранных дел Республики Беларусь</w:t>
            </w:r>
          </w:p>
        </w:tc>
      </w:tr>
      <w:tr w:rsidR="006C6809" w:rsidRPr="00463C79" w:rsidTr="00F04880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</w:tcPr>
          <w:p w:rsidR="006C6809" w:rsidRPr="006C6809" w:rsidRDefault="006C6809" w:rsidP="00F04880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Ермолович Олег</w:t>
            </w:r>
          </w:p>
        </w:tc>
        <w:tc>
          <w:tcPr>
            <w:tcW w:w="5894" w:type="dxa"/>
            <w:shd w:val="clear" w:color="auto" w:fill="auto"/>
            <w:noWrap/>
            <w:vAlign w:val="center"/>
          </w:tcPr>
          <w:p w:rsidR="006C6809" w:rsidRPr="00463C79" w:rsidRDefault="006C6809" w:rsidP="00F0488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Министерство иностранных дел Республики Беларусь</w:t>
            </w:r>
          </w:p>
        </w:tc>
      </w:tr>
      <w:tr w:rsidR="004B37F9" w:rsidRPr="00463C79" w:rsidTr="00F04880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</w:tcPr>
          <w:p w:rsidR="004B37F9" w:rsidRPr="00463C79" w:rsidRDefault="00D83C4D" w:rsidP="00F04880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Кубр</w:t>
            </w:r>
            <w:r w:rsidR="004B37F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акова Людмила Петровна</w:t>
            </w:r>
          </w:p>
        </w:tc>
        <w:tc>
          <w:tcPr>
            <w:tcW w:w="5894" w:type="dxa"/>
            <w:shd w:val="clear" w:color="auto" w:fill="auto"/>
            <w:noWrap/>
            <w:vAlign w:val="center"/>
          </w:tcPr>
          <w:p w:rsidR="004B37F9" w:rsidRPr="00463C79" w:rsidRDefault="004B37F9" w:rsidP="00F0488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Палата представителей Национального собрания Республики Беларусь</w:t>
            </w:r>
          </w:p>
        </w:tc>
      </w:tr>
      <w:tr w:rsidR="004B37F9" w:rsidRPr="00463C79" w:rsidTr="00F04880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  <w:hideMark/>
          </w:tcPr>
          <w:p w:rsidR="004B37F9" w:rsidRPr="00463C79" w:rsidRDefault="004B37F9" w:rsidP="00F04880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Андрей Смольский</w:t>
            </w:r>
          </w:p>
        </w:tc>
        <w:tc>
          <w:tcPr>
            <w:tcW w:w="5894" w:type="dxa"/>
            <w:shd w:val="clear" w:color="auto" w:fill="auto"/>
            <w:noWrap/>
            <w:vAlign w:val="center"/>
            <w:hideMark/>
          </w:tcPr>
          <w:p w:rsidR="004B37F9" w:rsidRPr="00FB31BB" w:rsidRDefault="004B37F9" w:rsidP="00F0488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Международная финансовая корпорация 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IFC)</w:t>
            </w:r>
          </w:p>
        </w:tc>
      </w:tr>
      <w:tr w:rsidR="004B37F9" w:rsidRPr="00463C79" w:rsidTr="00F04880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</w:tcPr>
          <w:p w:rsidR="004B37F9" w:rsidRPr="00463C79" w:rsidRDefault="004B37F9" w:rsidP="00F04880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Игнатьев Анатолий Петрович</w:t>
            </w:r>
          </w:p>
        </w:tc>
        <w:tc>
          <w:tcPr>
            <w:tcW w:w="5894" w:type="dxa"/>
            <w:shd w:val="clear" w:color="auto" w:fill="auto"/>
            <w:noWrap/>
            <w:vAlign w:val="center"/>
          </w:tcPr>
          <w:p w:rsidR="004B37F9" w:rsidRPr="00463C79" w:rsidRDefault="004B37F9" w:rsidP="00F0488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Министерство финансов Республики Беларусь</w:t>
            </w:r>
          </w:p>
        </w:tc>
      </w:tr>
      <w:tr w:rsidR="00D83C4D" w:rsidRPr="00463C79" w:rsidTr="00F04880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</w:tcPr>
          <w:p w:rsidR="00D83C4D" w:rsidRDefault="00D83C4D" w:rsidP="00F04880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Смолякова Юлия</w:t>
            </w:r>
          </w:p>
        </w:tc>
        <w:tc>
          <w:tcPr>
            <w:tcW w:w="5894" w:type="dxa"/>
            <w:shd w:val="clear" w:color="auto" w:fill="auto"/>
            <w:noWrap/>
            <w:vAlign w:val="center"/>
          </w:tcPr>
          <w:p w:rsidR="00D83C4D" w:rsidRDefault="00D83C4D" w:rsidP="00F0488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Министерство экономики Республики Беларусь</w:t>
            </w:r>
          </w:p>
        </w:tc>
      </w:tr>
      <w:tr w:rsidR="008D6AAD" w:rsidRPr="00463C79" w:rsidTr="00F04880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</w:tcPr>
          <w:p w:rsidR="008D6AAD" w:rsidRDefault="008D6AAD" w:rsidP="00F04880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Казакевич Ирина</w:t>
            </w:r>
          </w:p>
        </w:tc>
        <w:tc>
          <w:tcPr>
            <w:tcW w:w="5894" w:type="dxa"/>
            <w:shd w:val="clear" w:color="auto" w:fill="auto"/>
            <w:noWrap/>
            <w:vAlign w:val="center"/>
          </w:tcPr>
          <w:p w:rsidR="008D6AAD" w:rsidRDefault="008720E0" w:rsidP="00F0488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Всемирная продовольственная и сельскохозяйственная организация ООН (ФАО)</w:t>
            </w:r>
          </w:p>
        </w:tc>
      </w:tr>
      <w:tr w:rsidR="008720E0" w:rsidRPr="00463C79" w:rsidTr="00F04880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</w:tcPr>
          <w:p w:rsidR="008720E0" w:rsidRDefault="008720E0" w:rsidP="00F04880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Вертинская Татьяна</w:t>
            </w:r>
          </w:p>
        </w:tc>
        <w:tc>
          <w:tcPr>
            <w:tcW w:w="5894" w:type="dxa"/>
            <w:shd w:val="clear" w:color="auto" w:fill="auto"/>
            <w:noWrap/>
            <w:vAlign w:val="center"/>
          </w:tcPr>
          <w:p w:rsidR="008720E0" w:rsidRDefault="008720E0" w:rsidP="00F0488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Институт экономики НАН Республики Беларусь</w:t>
            </w:r>
          </w:p>
        </w:tc>
      </w:tr>
    </w:tbl>
    <w:p w:rsidR="004B37F9" w:rsidRDefault="004B37F9" w:rsidP="004B37F9">
      <w:pPr>
        <w:rPr>
          <w:b/>
          <w:u w:val="single"/>
        </w:rPr>
      </w:pPr>
      <w:r>
        <w:br/>
      </w:r>
    </w:p>
    <w:p w:rsidR="00F37A72" w:rsidRPr="008720E0" w:rsidRDefault="00F37A72"/>
    <w:p w:rsidR="004B37F9" w:rsidRPr="008720E0" w:rsidRDefault="004B37F9"/>
    <w:p w:rsidR="004B37F9" w:rsidRPr="008720E0" w:rsidRDefault="004B37F9"/>
    <w:p w:rsidR="004B37F9" w:rsidRPr="008720E0" w:rsidRDefault="004B37F9"/>
    <w:p w:rsidR="004B37F9" w:rsidRPr="008720E0" w:rsidRDefault="004B37F9"/>
    <w:p w:rsidR="004B37F9" w:rsidRPr="008720E0" w:rsidRDefault="004B37F9"/>
    <w:p w:rsidR="004B37F9" w:rsidRPr="008720E0" w:rsidRDefault="004B37F9"/>
    <w:p w:rsidR="004B37F9" w:rsidRPr="00807292" w:rsidRDefault="004B37F9"/>
    <w:p w:rsidR="004B37F9" w:rsidRPr="009D44AB" w:rsidRDefault="004B37F9" w:rsidP="004B37F9">
      <w:pPr>
        <w:rPr>
          <w:b/>
          <w:u w:val="single"/>
        </w:rPr>
      </w:pPr>
      <w:r w:rsidRPr="009D44AB">
        <w:rPr>
          <w:b/>
          <w:u w:val="single"/>
        </w:rPr>
        <w:t>ОБСУДИЛИ</w:t>
      </w:r>
      <w:r>
        <w:rPr>
          <w:b/>
          <w:u w:val="single"/>
        </w:rPr>
        <w:t xml:space="preserve"> И РЕШИЛИ</w:t>
      </w:r>
      <w:r w:rsidRPr="009D44AB">
        <w:rPr>
          <w:b/>
          <w:u w:val="single"/>
        </w:rPr>
        <w:t>:</w:t>
      </w:r>
    </w:p>
    <w:p w:rsidR="004B37F9" w:rsidRDefault="00FB25CE" w:rsidP="00F04880">
      <w:pPr>
        <w:jc w:val="both"/>
        <w:rPr>
          <w:lang w:val="be-BY"/>
        </w:rPr>
      </w:pPr>
      <w:r w:rsidRPr="00F04880">
        <w:rPr>
          <w:b/>
          <w:lang w:val="be-BY"/>
        </w:rPr>
        <w:t>Г-жа ВЕРТИНСКАЯ</w:t>
      </w:r>
      <w:r>
        <w:rPr>
          <w:lang w:val="be-BY"/>
        </w:rPr>
        <w:t xml:space="preserve"> предложила добавить индикатор по индексу разви</w:t>
      </w:r>
      <w:r w:rsidR="00807292">
        <w:rPr>
          <w:lang w:val="be-BY"/>
        </w:rPr>
        <w:t xml:space="preserve">тия электронного правительства. После короткого обсуждения, было решено предложить данный индикатор участникам рабочей группы по </w:t>
      </w:r>
      <w:r w:rsidR="00F04880">
        <w:rPr>
          <w:lang w:val="be-BY"/>
        </w:rPr>
        <w:t>инклюзивному, оперативному и подотчетному государственному управлению.</w:t>
      </w:r>
    </w:p>
    <w:p w:rsidR="00F04880" w:rsidRDefault="00DC6774" w:rsidP="00F04880">
      <w:pPr>
        <w:jc w:val="both"/>
        <w:rPr>
          <w:lang w:val="be-BY"/>
        </w:rPr>
      </w:pPr>
      <w:r w:rsidRPr="00386F8C">
        <w:rPr>
          <w:b/>
          <w:lang w:val="be-BY"/>
        </w:rPr>
        <w:t>Г-жа ВЕРТИНСКАЯ</w:t>
      </w:r>
      <w:r>
        <w:rPr>
          <w:lang w:val="be-BY"/>
        </w:rPr>
        <w:t xml:space="preserve"> предложила </w:t>
      </w:r>
      <w:r w:rsidR="00386F8C">
        <w:rPr>
          <w:lang w:val="be-BY"/>
        </w:rPr>
        <w:t xml:space="preserve">уточнить </w:t>
      </w:r>
      <w:r>
        <w:rPr>
          <w:lang w:val="be-BY"/>
        </w:rPr>
        <w:t xml:space="preserve">формулировку </w:t>
      </w:r>
      <w:r w:rsidR="00084E2A">
        <w:rPr>
          <w:lang w:val="be-BY"/>
        </w:rPr>
        <w:t>результата 2.2,</w:t>
      </w:r>
      <w:r w:rsidR="00386F8C">
        <w:rPr>
          <w:lang w:val="be-BY"/>
        </w:rPr>
        <w:t xml:space="preserve"> а именно отметить </w:t>
      </w:r>
      <w:r w:rsidR="00386F8C" w:rsidRPr="00386F8C">
        <w:rPr>
          <w:i/>
          <w:lang w:val="be-BY"/>
        </w:rPr>
        <w:t>“обеспечение вклада МСП в экономический рост”</w:t>
      </w:r>
      <w:r w:rsidR="00386F8C">
        <w:rPr>
          <w:lang w:val="be-BY"/>
        </w:rPr>
        <w:t>. Предложение было принято.</w:t>
      </w:r>
    </w:p>
    <w:p w:rsidR="00D56591" w:rsidRDefault="00D56591" w:rsidP="00F04880">
      <w:pPr>
        <w:jc w:val="both"/>
        <w:rPr>
          <w:lang w:val="be-BY"/>
        </w:rPr>
      </w:pPr>
      <w:r w:rsidRPr="00F67691">
        <w:rPr>
          <w:b/>
          <w:lang w:val="be-BY"/>
        </w:rPr>
        <w:t>Г-жа ВЕРТИНСКАЯ</w:t>
      </w:r>
      <w:r>
        <w:rPr>
          <w:lang w:val="be-BY"/>
        </w:rPr>
        <w:t xml:space="preserve"> предложила определить, какие именно рабочие места подразумеваются в формулиров</w:t>
      </w:r>
      <w:r w:rsidR="00084E2A">
        <w:rPr>
          <w:lang w:val="be-BY"/>
        </w:rPr>
        <w:t>ке результата 2.4</w:t>
      </w:r>
      <w:r>
        <w:rPr>
          <w:lang w:val="be-BY"/>
        </w:rPr>
        <w:t xml:space="preserve"> - </w:t>
      </w:r>
      <w:r w:rsidRPr="00D56591">
        <w:rPr>
          <w:i/>
          <w:lang w:val="be-BY"/>
        </w:rPr>
        <w:t>высокодоходные</w:t>
      </w:r>
      <w:r>
        <w:rPr>
          <w:lang w:val="be-BY"/>
        </w:rPr>
        <w:t xml:space="preserve"> или </w:t>
      </w:r>
      <w:r w:rsidRPr="00D56591">
        <w:rPr>
          <w:i/>
          <w:lang w:val="be-BY"/>
        </w:rPr>
        <w:t>высокотехнологичные</w:t>
      </w:r>
      <w:r>
        <w:rPr>
          <w:lang w:val="be-BY"/>
        </w:rPr>
        <w:t>. Было принято решение уточнить данную формулировку к следующему заседанию.</w:t>
      </w:r>
    </w:p>
    <w:p w:rsidR="00AA4BF3" w:rsidRDefault="00084E2A" w:rsidP="004C3B20">
      <w:pPr>
        <w:jc w:val="both"/>
        <w:rPr>
          <w:lang w:val="be-BY"/>
        </w:rPr>
      </w:pPr>
      <w:r w:rsidRPr="00AA4BF3">
        <w:rPr>
          <w:b/>
          <w:lang w:val="be-BY"/>
        </w:rPr>
        <w:lastRenderedPageBreak/>
        <w:t>Г-н ИГНАТЬЕВ</w:t>
      </w:r>
      <w:r>
        <w:rPr>
          <w:lang w:val="be-BY"/>
        </w:rPr>
        <w:t xml:space="preserve"> отметил необходимость исправления ошибки в формулировке целевого показателя индикатора 2.2.4 с </w:t>
      </w:r>
      <w:r w:rsidRPr="00084E2A">
        <w:rPr>
          <w:i/>
          <w:lang w:val="be-BY"/>
        </w:rPr>
        <w:t>“315 джолл. США”</w:t>
      </w:r>
      <w:r>
        <w:rPr>
          <w:lang w:val="be-BY"/>
        </w:rPr>
        <w:t xml:space="preserve"> на </w:t>
      </w:r>
      <w:r w:rsidRPr="00084E2A">
        <w:rPr>
          <w:i/>
          <w:lang w:val="be-BY"/>
        </w:rPr>
        <w:t>“315 долл. США”</w:t>
      </w:r>
      <w:r>
        <w:rPr>
          <w:i/>
          <w:lang w:val="be-BY"/>
        </w:rPr>
        <w:t>.</w:t>
      </w:r>
      <w:r>
        <w:rPr>
          <w:lang w:val="be-BY"/>
        </w:rPr>
        <w:t xml:space="preserve"> </w:t>
      </w:r>
      <w:r w:rsidR="00AA4BF3">
        <w:rPr>
          <w:lang w:val="be-BY"/>
        </w:rPr>
        <w:t xml:space="preserve">Исправление было принято. Он также предложил уточнить, какие конкретно процедуры имеются в виду в формулировке одного из предположений результата 2.2 в части </w:t>
      </w:r>
      <w:r w:rsidR="00AA4BF3" w:rsidRPr="00AA4BF3">
        <w:rPr>
          <w:i/>
          <w:lang w:val="be-BY"/>
        </w:rPr>
        <w:t>“устранение избыточных административных налоговых процедур”</w:t>
      </w:r>
      <w:r w:rsidR="00AA4BF3">
        <w:rPr>
          <w:lang w:val="be-BY"/>
        </w:rPr>
        <w:t xml:space="preserve"> – только </w:t>
      </w:r>
      <w:r w:rsidR="00446726">
        <w:rPr>
          <w:lang w:val="be-BY"/>
        </w:rPr>
        <w:t>административные, только налоговые</w:t>
      </w:r>
      <w:r w:rsidR="00AA4BF3">
        <w:rPr>
          <w:lang w:val="be-BY"/>
        </w:rPr>
        <w:t xml:space="preserve">, </w:t>
      </w:r>
      <w:r w:rsidR="00446726">
        <w:rPr>
          <w:lang w:val="be-BY"/>
        </w:rPr>
        <w:t>или административные и налоговые</w:t>
      </w:r>
      <w:r w:rsidR="00AA4BF3">
        <w:rPr>
          <w:lang w:val="be-BY"/>
        </w:rPr>
        <w:t>?</w:t>
      </w:r>
      <w:r w:rsidR="008E4972">
        <w:rPr>
          <w:lang w:val="be-BY"/>
        </w:rPr>
        <w:t xml:space="preserve"> Было решено поинтересоваться мнением </w:t>
      </w:r>
      <w:r w:rsidR="008E4972" w:rsidRPr="008E4972">
        <w:rPr>
          <w:b/>
          <w:lang w:val="be-BY"/>
        </w:rPr>
        <w:t xml:space="preserve">г-жи </w:t>
      </w:r>
      <w:r w:rsidR="008E4972">
        <w:rPr>
          <w:b/>
          <w:lang w:val="be-BY"/>
        </w:rPr>
        <w:t>БОРОВИК</w:t>
      </w:r>
      <w:r w:rsidR="008E4972">
        <w:rPr>
          <w:lang w:val="be-BY"/>
        </w:rPr>
        <w:t xml:space="preserve">. Также было решено попросить ее уточнить, что конкретно понимается под одним из предположений результата 2.2. – разработка и и принятие Концепции и Программы развития </w:t>
      </w:r>
      <w:r w:rsidR="008E4972" w:rsidRPr="008E4972">
        <w:rPr>
          <w:i/>
          <w:lang w:val="be-BY"/>
        </w:rPr>
        <w:t>предприимчивости</w:t>
      </w:r>
      <w:r w:rsidR="008E4972">
        <w:rPr>
          <w:lang w:val="be-BY"/>
        </w:rPr>
        <w:t xml:space="preserve"> или </w:t>
      </w:r>
      <w:r w:rsidR="008E4972" w:rsidRPr="008E4972">
        <w:rPr>
          <w:i/>
          <w:lang w:val="be-BY"/>
        </w:rPr>
        <w:t>предпринимательства</w:t>
      </w:r>
      <w:r w:rsidR="008E4972">
        <w:rPr>
          <w:lang w:val="be-BY"/>
        </w:rPr>
        <w:t xml:space="preserve">? </w:t>
      </w:r>
    </w:p>
    <w:p w:rsidR="008E4972" w:rsidRDefault="008E4972" w:rsidP="004C3B20">
      <w:pPr>
        <w:jc w:val="both"/>
        <w:rPr>
          <w:lang w:val="be-BY"/>
        </w:rPr>
      </w:pPr>
      <w:r w:rsidRPr="008E4972">
        <w:rPr>
          <w:b/>
          <w:lang w:val="be-BY"/>
        </w:rPr>
        <w:t>Г-н ИГНАТЬЕВ</w:t>
      </w:r>
      <w:r>
        <w:rPr>
          <w:lang w:val="be-BY"/>
        </w:rPr>
        <w:t xml:space="preserve"> также предложил уточнить формулировку целевого показателя индикатора 2.4.3 </w:t>
      </w:r>
      <w:r w:rsidRPr="008E4972">
        <w:rPr>
          <w:i/>
          <w:lang w:val="be-BY"/>
        </w:rPr>
        <w:t>“2020 г. – по результатам пилотного проекта”</w:t>
      </w:r>
      <w:r>
        <w:rPr>
          <w:i/>
          <w:lang w:val="be-BY"/>
        </w:rPr>
        <w:t xml:space="preserve">. </w:t>
      </w:r>
      <w:r>
        <w:rPr>
          <w:lang w:val="be-BY"/>
        </w:rPr>
        <w:t xml:space="preserve">Вследствие отсутствия в настоящий момент точных количественных данных об уровне занятости населения в неформальном секторе экономики, было предложено перейти к качественной формулировке исходного и целевого показателя, например в формате </w:t>
      </w:r>
      <w:r w:rsidRPr="00BF4600">
        <w:rPr>
          <w:i/>
          <w:lang w:val="be-BY"/>
        </w:rPr>
        <w:t>“методика отсутствует”</w:t>
      </w:r>
      <w:r>
        <w:rPr>
          <w:lang w:val="be-BY"/>
        </w:rPr>
        <w:t xml:space="preserve"> (исходный) и </w:t>
      </w:r>
      <w:r w:rsidRPr="00BF4600">
        <w:rPr>
          <w:i/>
          <w:lang w:val="be-BY"/>
        </w:rPr>
        <w:t>“методика разработана”</w:t>
      </w:r>
      <w:r>
        <w:rPr>
          <w:lang w:val="be-BY"/>
        </w:rPr>
        <w:t xml:space="preserve"> (целевой)</w:t>
      </w:r>
      <w:r w:rsidR="00BF4600">
        <w:rPr>
          <w:lang w:val="be-BY"/>
        </w:rPr>
        <w:t xml:space="preserve"> или </w:t>
      </w:r>
      <w:r w:rsidR="00BF4600" w:rsidRPr="00BF4600">
        <w:rPr>
          <w:i/>
          <w:lang w:val="be-BY"/>
        </w:rPr>
        <w:t>“методология оценки разработана и применена в пилотном проекте”</w:t>
      </w:r>
      <w:r>
        <w:rPr>
          <w:lang w:val="be-BY"/>
        </w:rPr>
        <w:t xml:space="preserve">. Однако в группе прозвучали возражения, что подобная качественная формулировка исходного и целевого показателя сузила бы изначально заявленную </w:t>
      </w:r>
      <w:r w:rsidR="00BF4600">
        <w:rPr>
          <w:lang w:val="be-BY"/>
        </w:rPr>
        <w:t>цель не только оценить уровень занятости населения в неформальном секторе экономики, но также и предпринять конкретные действия с целью его понижения.</w:t>
      </w:r>
      <w:r w:rsidR="00DF3358">
        <w:rPr>
          <w:lang w:val="be-BY"/>
        </w:rPr>
        <w:t xml:space="preserve"> Участники рабочей группы приняли решение поинтересоваться мнением </w:t>
      </w:r>
      <w:r w:rsidR="00DF3358" w:rsidRPr="00DF3358">
        <w:rPr>
          <w:b/>
          <w:lang w:val="be-BY"/>
        </w:rPr>
        <w:t>г-жи БОРОВИК</w:t>
      </w:r>
      <w:r w:rsidR="00DF3358">
        <w:rPr>
          <w:lang w:val="be-BY"/>
        </w:rPr>
        <w:t>.</w:t>
      </w:r>
    </w:p>
    <w:p w:rsidR="00C92B42" w:rsidRPr="00F37A72" w:rsidRDefault="00D956F6" w:rsidP="00D956F6">
      <w:pPr>
        <w:jc w:val="both"/>
      </w:pPr>
      <w:r w:rsidRPr="001944AE">
        <w:rPr>
          <w:b/>
          <w:lang w:val="be-BY"/>
        </w:rPr>
        <w:lastRenderedPageBreak/>
        <w:t>Г-н ИГНАТЬЕВ</w:t>
      </w:r>
      <w:r>
        <w:rPr>
          <w:lang w:val="be-BY"/>
        </w:rPr>
        <w:t xml:space="preserve"> также предложил убрать “форсайт-методы” в индикаторах и предположениях результата 2.4, поскольку методы оценки и стратегического планирования постоянно совершенствуются и следует опираться на все разнообразие методов. Было решено поинтересоваться мнением </w:t>
      </w:r>
      <w:r w:rsidRPr="00DF3358">
        <w:rPr>
          <w:b/>
          <w:lang w:val="be-BY"/>
        </w:rPr>
        <w:t>г-жи БОРОВИК</w:t>
      </w:r>
      <w:r>
        <w:rPr>
          <w:lang w:val="be-BY"/>
        </w:rPr>
        <w:t>.</w:t>
      </w:r>
    </w:p>
    <w:p w:rsidR="001944AE" w:rsidRDefault="00D956F6" w:rsidP="00D956F6">
      <w:pPr>
        <w:jc w:val="both"/>
        <w:rPr>
          <w:lang w:val="be-BY"/>
        </w:rPr>
      </w:pPr>
      <w:r w:rsidRPr="00D956F6">
        <w:rPr>
          <w:b/>
          <w:lang w:val="be-BY"/>
        </w:rPr>
        <w:t>Г-н ПЛАЩИНСКИЙ</w:t>
      </w:r>
      <w:r>
        <w:rPr>
          <w:lang w:val="be-BY"/>
        </w:rPr>
        <w:t xml:space="preserve"> сделал короткую презентацию, в которой осветил методологию заполнения секции матрицы результатов про роль партнеров</w:t>
      </w:r>
      <w:r w:rsidR="001944AE">
        <w:rPr>
          <w:lang w:val="be-BY"/>
        </w:rPr>
        <w:t>, в частности, то, что в данной секции должна быть отражена не роль агентств ООН, а роль партнеров ООН, включая Правительство, государственные органы и агентства, а также негосударственные организации и частный сектор.</w:t>
      </w:r>
    </w:p>
    <w:p w:rsidR="00D956F6" w:rsidRDefault="00D956F6" w:rsidP="00D956F6">
      <w:pPr>
        <w:jc w:val="both"/>
        <w:rPr>
          <w:lang w:val="be-BY"/>
        </w:rPr>
      </w:pPr>
      <w:r w:rsidRPr="00D956F6">
        <w:rPr>
          <w:b/>
          <w:lang w:val="be-BY"/>
        </w:rPr>
        <w:t xml:space="preserve">Г-жа ПАНИКЛОВА </w:t>
      </w:r>
      <w:r>
        <w:rPr>
          <w:lang w:val="be-BY"/>
        </w:rPr>
        <w:t xml:space="preserve">предложила участникам рабочей группы в ходе заседания высказать свои предложения по заполнению секции </w:t>
      </w:r>
      <w:r w:rsidRPr="0088673A">
        <w:rPr>
          <w:i/>
          <w:lang w:val="be-BY"/>
        </w:rPr>
        <w:t>“роль партнеров”</w:t>
      </w:r>
      <w:r>
        <w:rPr>
          <w:lang w:val="be-BY"/>
        </w:rPr>
        <w:t xml:space="preserve"> по одному из результатов, что и было сделано в ходе заседания (см. приложенную к протоколу матрицу результатов). Участники рабочей группы приняли решение выслать свои </w:t>
      </w:r>
      <w:r w:rsidR="001944AE">
        <w:rPr>
          <w:lang w:val="be-BY"/>
        </w:rPr>
        <w:t xml:space="preserve">дополнительные </w:t>
      </w:r>
      <w:r>
        <w:rPr>
          <w:lang w:val="be-BY"/>
        </w:rPr>
        <w:t xml:space="preserve">предложения в отношении секции </w:t>
      </w:r>
      <w:r w:rsidRPr="0088673A">
        <w:rPr>
          <w:i/>
          <w:lang w:val="be-BY"/>
        </w:rPr>
        <w:t>“Роль партнеров”</w:t>
      </w:r>
      <w:r>
        <w:rPr>
          <w:lang w:val="be-BY"/>
        </w:rPr>
        <w:t xml:space="preserve"> по другим результатам, а также свои предложения и комментарии в отношении др</w:t>
      </w:r>
      <w:r w:rsidR="001944AE">
        <w:rPr>
          <w:lang w:val="be-BY"/>
        </w:rPr>
        <w:t>угих секций матрицы результатов,</w:t>
      </w:r>
      <w:r>
        <w:rPr>
          <w:lang w:val="be-BY"/>
        </w:rPr>
        <w:t xml:space="preserve"> до следующего заседания рабочей группы.</w:t>
      </w:r>
    </w:p>
    <w:p w:rsidR="001944AE" w:rsidRDefault="001944AE" w:rsidP="00D956F6">
      <w:pPr>
        <w:jc w:val="both"/>
        <w:rPr>
          <w:lang w:val="be-BY"/>
        </w:rPr>
      </w:pPr>
      <w:r w:rsidRPr="001944AE">
        <w:rPr>
          <w:b/>
          <w:lang w:val="be-BY"/>
        </w:rPr>
        <w:t>Г-н ИГНАТЬЕВ</w:t>
      </w:r>
      <w:r>
        <w:rPr>
          <w:lang w:val="be-BY"/>
        </w:rPr>
        <w:t xml:space="preserve"> предложил описать в матрице результатов конкретные мероприятия, направленные на достижение заявленных результатов. </w:t>
      </w:r>
      <w:r w:rsidRPr="001944AE">
        <w:rPr>
          <w:b/>
          <w:lang w:val="be-BY"/>
        </w:rPr>
        <w:t>Г-жа ПАНИКЛОВА</w:t>
      </w:r>
      <w:r>
        <w:rPr>
          <w:lang w:val="be-BY"/>
        </w:rPr>
        <w:t xml:space="preserve"> отметила, что данные мероприятия будут разработаны и указаны в страновых программах агентств ООН, которые будут участвовать в реализации Рамочной программы.</w:t>
      </w:r>
    </w:p>
    <w:p w:rsidR="00F24408" w:rsidRPr="001944AE" w:rsidRDefault="001944AE" w:rsidP="001944AE">
      <w:pPr>
        <w:jc w:val="both"/>
        <w:rPr>
          <w:lang w:val="be-BY"/>
        </w:rPr>
      </w:pPr>
      <w:r w:rsidRPr="001944AE">
        <w:rPr>
          <w:b/>
          <w:lang w:val="be-BY"/>
        </w:rPr>
        <w:lastRenderedPageBreak/>
        <w:t>Г-жа ПАНИКЛОВА</w:t>
      </w:r>
      <w:r>
        <w:rPr>
          <w:lang w:val="be-BY"/>
        </w:rPr>
        <w:t xml:space="preserve"> предложила поинтересоваться, заинтересованы ли и смогут ли иные организации, входящие в страновую команду ООН в Республике Беларусь, в частности, Всемирный банк, Международная финансовая корпорация и Международный валютный фонд, принять участие в реализации разрабатываемой Рамочной программы, поскольку включение результата 2.3 в матрицу результатов напрямую зависит от их возможного участия.</w:t>
      </w:r>
    </w:p>
    <w:sectPr w:rsidR="00F24408" w:rsidRPr="00194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C5"/>
    <w:rsid w:val="00084E2A"/>
    <w:rsid w:val="000971FD"/>
    <w:rsid w:val="000E220B"/>
    <w:rsid w:val="001204AC"/>
    <w:rsid w:val="001944AE"/>
    <w:rsid w:val="001A3186"/>
    <w:rsid w:val="001B34B2"/>
    <w:rsid w:val="001E233F"/>
    <w:rsid w:val="0028146E"/>
    <w:rsid w:val="0028260B"/>
    <w:rsid w:val="002966B8"/>
    <w:rsid w:val="0029672C"/>
    <w:rsid w:val="002C0F06"/>
    <w:rsid w:val="002E7C3B"/>
    <w:rsid w:val="0031091B"/>
    <w:rsid w:val="0032701A"/>
    <w:rsid w:val="00384E0C"/>
    <w:rsid w:val="00386F8C"/>
    <w:rsid w:val="004268F7"/>
    <w:rsid w:val="00427D0F"/>
    <w:rsid w:val="00446726"/>
    <w:rsid w:val="00492314"/>
    <w:rsid w:val="004A5A69"/>
    <w:rsid w:val="004B37F9"/>
    <w:rsid w:val="004C0C55"/>
    <w:rsid w:val="004C3B20"/>
    <w:rsid w:val="00580DBF"/>
    <w:rsid w:val="005D564D"/>
    <w:rsid w:val="0069630D"/>
    <w:rsid w:val="006C6809"/>
    <w:rsid w:val="006D0AA4"/>
    <w:rsid w:val="006F41F2"/>
    <w:rsid w:val="006F668D"/>
    <w:rsid w:val="0070164A"/>
    <w:rsid w:val="00712D2B"/>
    <w:rsid w:val="00744BC9"/>
    <w:rsid w:val="00807292"/>
    <w:rsid w:val="008720E0"/>
    <w:rsid w:val="0088673A"/>
    <w:rsid w:val="008A5DD4"/>
    <w:rsid w:val="008D1BEE"/>
    <w:rsid w:val="008D6AAD"/>
    <w:rsid w:val="008E4972"/>
    <w:rsid w:val="00913251"/>
    <w:rsid w:val="00955F93"/>
    <w:rsid w:val="009F09A4"/>
    <w:rsid w:val="009F0ED6"/>
    <w:rsid w:val="00A17CA0"/>
    <w:rsid w:val="00A77BF6"/>
    <w:rsid w:val="00AA4BF3"/>
    <w:rsid w:val="00B079B0"/>
    <w:rsid w:val="00B11581"/>
    <w:rsid w:val="00BF4600"/>
    <w:rsid w:val="00C92B42"/>
    <w:rsid w:val="00C9538F"/>
    <w:rsid w:val="00CB013F"/>
    <w:rsid w:val="00CC5EAC"/>
    <w:rsid w:val="00CF005A"/>
    <w:rsid w:val="00D27A56"/>
    <w:rsid w:val="00D42055"/>
    <w:rsid w:val="00D56591"/>
    <w:rsid w:val="00D77082"/>
    <w:rsid w:val="00D83C4D"/>
    <w:rsid w:val="00D956F6"/>
    <w:rsid w:val="00DC6774"/>
    <w:rsid w:val="00DF3358"/>
    <w:rsid w:val="00E03D7A"/>
    <w:rsid w:val="00E43DC5"/>
    <w:rsid w:val="00E907FD"/>
    <w:rsid w:val="00EA7CAB"/>
    <w:rsid w:val="00ED66B1"/>
    <w:rsid w:val="00F04880"/>
    <w:rsid w:val="00F24408"/>
    <w:rsid w:val="00F37A72"/>
    <w:rsid w:val="00F558B9"/>
    <w:rsid w:val="00F67691"/>
    <w:rsid w:val="00F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650133-2ABD-45E0-B08F-7F5FF96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Plaschinsky</dc:creator>
  <cp:keywords/>
  <dc:description/>
  <cp:lastModifiedBy>Darya Mironava</cp:lastModifiedBy>
  <cp:revision>2</cp:revision>
  <dcterms:created xsi:type="dcterms:W3CDTF">2014-10-10T09:41:00Z</dcterms:created>
  <dcterms:modified xsi:type="dcterms:W3CDTF">2014-10-10T09:41:00Z</dcterms:modified>
</cp:coreProperties>
</file>