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продажах №2</w:t>
      </w:r>
    </w:p>
    <w:p>
      <w:r>
        <w:rPr>
          <w:b/>
        </w:rPr>
        <w:t xml:space="preserve">Менеджер: </w:t>
      </w:r>
      <w:r>
        <w:t>Иванов И.И.</w:t>
      </w:r>
      <w:r>
        <w:rPr>
          <w:b/>
        </w:rPr>
        <w:br/>
        <w:t xml:space="preserve">Дата: </w:t>
      </w:r>
      <w:r>
        <w:t>2026-04-07</w:t>
      </w:r>
      <w:r>
        <w:rPr>
          <w:b/>
        </w:rPr>
        <w:br/>
        <w:t xml:space="preserve">Комментарий: </w:t>
      </w:r>
      <w:r>
        <w:t>авы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Товар</w:t>
            </w:r>
          </w:p>
        </w:tc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 (BYN)</w:t>
            </w:r>
          </w:p>
        </w:tc>
        <w:tc>
          <w:tcPr>
            <w:tcW w:type="dxa" w:w="1728"/>
          </w:tcPr>
          <w:p>
            <w:r>
              <w:t>Сумма (BYN)</w:t>
            </w:r>
          </w:p>
        </w:tc>
      </w:tr>
      <w:tr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Орехи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12.00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