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>
          <w:rFonts w:ascii="Ubuntu" w:hAnsi="Ubuntu"/>
          <w:b/>
          <w:bCs/>
          <w:color w:val="auto"/>
          <w:sz w:val="24"/>
          <w:szCs w:val="24"/>
        </w:rPr>
      </w:pPr>
      <w:r>
        <w:rPr>
          <w:rFonts w:ascii="Ubuntu" w:hAnsi="Ubuntu"/>
          <w:b/>
          <w:bCs/>
          <w:color w:val="auto"/>
          <w:sz w:val="24"/>
          <w:szCs w:val="24"/>
        </w:rPr>
        <w:t>Отчёт по модели 1: Статистический анализ отказов + сенсоры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Проект: ML-prediction-of-RUL-of-NPP-equipment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1. Суть модели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Используется подход: Статистический анализ отказов</w:t>
        <w:br/>
        <w:t>Модель: Weibull AFT-моделью (Accelerated Failure Time).</w:t>
        <w:br/>
        <w:t>Цель: Оценка времени до отказа (RUL) оборудования с учётом признаков metric1–metric9.</w:t>
        <w:br/>
        <w:t>Учитывается цензурирование (правостороннее цензурирование).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2. Данные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 xml:space="preserve">Источник: </w:t>
      </w:r>
      <w:hyperlink r:id="rId2">
        <w:r>
          <w:rPr>
            <w:rStyle w:val="Hyperlink"/>
            <w:rFonts w:ascii="Ubuntu" w:hAnsi="Ubuntu"/>
            <w:color w:val="auto"/>
            <w:sz w:val="24"/>
            <w:szCs w:val="24"/>
          </w:rPr>
          <w:t>Kaggle Predictive Maintenance Dataset</w:t>
        </w:r>
      </w:hyperlink>
      <w:r>
        <w:rPr>
          <w:rFonts w:ascii="Ubuntu" w:hAnsi="Ubuntu"/>
          <w:color w:val="auto"/>
          <w:sz w:val="24"/>
          <w:szCs w:val="24"/>
        </w:rPr>
        <w:t>.</w:t>
        <w:br/>
        <w:t>Датасет: синтетический</w:t>
        <w:br/>
        <w:t>Размер: 1 169 устройств.</w:t>
        <w:br/>
        <w:t>Отказали: 106 (9%), Цензурированы: 1 063 (91%).</w:t>
        <w:br/>
        <w:t>Признаки: metric1–metric9, масштабированные.</w:t>
        <w:br/>
        <w:t>Цель: duration (в днях) + event (флаг отказа).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3. Запуск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1) Активировать окружение:</w:t>
        <w:br/>
        <w:t>source venv/bin/activate   (или venv\Scripts\activate на Windows)</w:t>
        <w:br/>
        <w:t>2) Обучение:</w:t>
        <w:br/>
        <w:t>python src/run_pipeline.py</w:t>
        <w:br/>
        <w:t>3) Интерпретация данных:</w:t>
        <w:br/>
        <w:t>python models/interpret_model_stat.py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/>
      </w:r>
      <w:r>
        <w:br w:type="page"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4. Ключевые результаты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lambda ≈ 1 060 дней – характерный срок службы.</w:t>
        <w:br/>
        <w:t>rho ≈ 1.09 – риск отказа слабо растёт с возрастом.</w:t>
        <w:br/>
        <w:t>metric2 – основной значимый признак (p ≈ 0.0007).</w:t>
        <w:br/>
        <w:t>Медианный RUL: ~755 дней.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-819785</wp:posOffset>
            </wp:positionH>
            <wp:positionV relativeFrom="paragraph">
              <wp:posOffset>-69215</wp:posOffset>
            </wp:positionV>
            <wp:extent cx="7579360" cy="15900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5. Интерпретация графиков</w:t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color w:val="auto"/>
          <w:sz w:val="24"/>
          <w:szCs w:val="24"/>
        </w:rPr>
        <w:br/>
        <w:t>feature_coefficients.png: вклад метрик (metric2 сильно влияет на снижение срока). По сигналам 4, 7, 8 и 9 так же наблюдается отказ раньше</w:t>
        <w:br/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6015" cy="32975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survival_profiles.png: S(t) для 25%, 50%, 75% профилей – различия умеренные, но стабильные.</w:t>
        <w:br/>
      </w:r>
    </w:p>
    <w:p>
      <w:pPr>
        <w:pStyle w:val="Heading2"/>
        <w:spacing w:lineRule="auto" w:line="24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t>6. Выводы</w:t>
      </w:r>
    </w:p>
    <w:p>
      <w:pPr>
        <w:pStyle w:val="Normal"/>
        <w:spacing w:lineRule="auto" w:line="240" w:before="0" w:after="200"/>
        <w:rPr>
          <w:rFonts w:ascii="Ubuntu" w:hAnsi="Ubuntu"/>
          <w:color w:val="auto"/>
          <w:sz w:val="24"/>
          <w:szCs w:val="24"/>
        </w:rPr>
      </w:pPr>
      <w:r>
        <w:rPr>
          <w:rFonts w:ascii="Ubuntu" w:hAnsi="Ubuntu"/>
          <w:color w:val="auto"/>
          <w:sz w:val="24"/>
          <w:szCs w:val="24"/>
        </w:rPr>
        <w:br/>
        <w:t>Модель устойчива, учитывает цензурирование, интерпретируема.</w:t>
        <w:br/>
        <w:t>Подтверждена важность метрики metric2.</w:t>
        <w:br/>
        <w:t>Сенсорные данные дают скромное разделение по профилям.</w:t>
        <w:br/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hiimanshuagarwal/predictive-maintenance-datas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3</Pages>
  <Words>177</Words>
  <Characters>1263</Characters>
  <CharactersWithSpaces>1442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2025-07-17T17:22:33Z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