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0"/>
        <w:jc w:val="center"/>
        <w:rPr>
          <w:rFonts w:ascii="Ubuntu" w:hAnsi="Ubuntu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  <w:lang w:val="ru-RU"/>
        </w:rPr>
        <w:t>Вывод по модели Similarity-based — DTW + kNN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1. Использованный подход</w:t>
      </w:r>
    </w:p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- Данные: 7 отказов (BROKEN) в исходном sensor.csv. Для каждого отказа взяли последнее 24-часовое окно (1440 мин) по всем сенсорам, линейно интерполировали пропуски, стандартизовали внутри окна («z-score»).</w:t>
      </w:r>
    </w:p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- Генерация обучающих примеров: Из каждой траектории сформированы усечённые префиксы с шагом 60 мин: RUL = 1, 60, 120 … 1380 мин (максимум W-60). Всего 144 образца.</w:t>
      </w:r>
    </w:p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- Метрика сходства — Dynamic Time Warping; позволяет выровнять нелинейные сдвиги и сравнивать траектории разной длины.</w:t>
      </w:r>
    </w:p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- Подход: similarity-based, DTW + kNN.</w:t>
      </w:r>
    </w:p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- Модель: «ленивый» kNN-регрессор с k = 3 и заранее вычисленной DTW-матрицей. Обучения в обычном смысле нет; хранится матрица расстояний и целевые RUL.</w:t>
      </w:r>
    </w:p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- Онлайн-прогноз: Последняя (7-я) траектория исключена из обучения и считается «текущей». Для неё рассчитываются DTW-расстояния до всех 144 образцов, затем берётся среднее RUL трёх ближайших.</w:t>
      </w:r>
    </w:p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2. Результаты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10"/>
        <w:gridCol w:w="3445"/>
      </w:tblGrid>
      <w:tr>
        <w:trPr/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b/>
                <w:bCs/>
                <w:sz w:val="24"/>
                <w:szCs w:val="24"/>
              </w:rPr>
            </w:pPr>
            <w:r>
              <w:rPr>
                <w:rFonts w:ascii="Ubuntu" w:hAnsi="Ubuntu"/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b/>
                <w:bCs/>
                <w:sz w:val="24"/>
                <w:szCs w:val="24"/>
              </w:rPr>
            </w:pPr>
            <w:r>
              <w:rPr>
                <w:rFonts w:ascii="Ubuntu" w:hAnsi="Ubuntu"/>
                <w:b/>
                <w:bCs/>
                <w:sz w:val="24"/>
                <w:szCs w:val="24"/>
              </w:rPr>
              <w:t>Значение</w:t>
            </w:r>
          </w:p>
        </w:tc>
      </w:tr>
      <w:tr>
        <w:trPr/>
        <w:tc>
          <w:tcPr>
            <w:tcW w:w="5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Число обучающих выборок</w:t>
            </w:r>
          </w:p>
        </w:tc>
        <w:tc>
          <w:tcPr>
            <w:tcW w:w="3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144</w:t>
            </w:r>
          </w:p>
        </w:tc>
      </w:tr>
      <w:tr>
        <w:trPr/>
        <w:tc>
          <w:tcPr>
            <w:tcW w:w="5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Диапозон меток RUL</w:t>
            </w:r>
          </w:p>
        </w:tc>
        <w:tc>
          <w:tcPr>
            <w:tcW w:w="3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1 … 1380 мин</w:t>
            </w:r>
          </w:p>
        </w:tc>
      </w:tr>
      <w:tr>
        <w:trPr/>
        <w:tc>
          <w:tcPr>
            <w:tcW w:w="5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Предсказанный RUL для “текущей” траектории</w:t>
            </w:r>
          </w:p>
        </w:tc>
        <w:tc>
          <w:tcPr>
            <w:tcW w:w="3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 xml:space="preserve">≈ </w:t>
            </w:r>
            <w:r>
              <w:rPr>
                <w:rFonts w:ascii="Ubuntu" w:hAnsi="Ubuntu"/>
                <w:sz w:val="24"/>
                <w:szCs w:val="24"/>
              </w:rPr>
              <w:t>1200 мин (≈ 20 ч)</w:t>
            </w:r>
          </w:p>
        </w:tc>
      </w:tr>
      <w:tr>
        <w:trPr/>
        <w:tc>
          <w:tcPr>
            <w:tcW w:w="5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k-соседей</w:t>
            </w:r>
          </w:p>
        </w:tc>
        <w:tc>
          <w:tcPr>
            <w:tcW w:w="3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</w:tr>
    </w:tbl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drawing>
          <wp:inline distT="0" distB="0" distL="0" distR="0">
            <wp:extent cx="5221605" cy="32632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На рисунке выше представлено сопоставление текущей траектории (синий) и ближайшей исторической (оранжевый). Вертикальная синяя пунктирная линия — «сейчас»; оранжевая — отказ в прошлом. Подписано прогнозное RUL.</w:t>
      </w:r>
    </w:p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drawing>
          <wp:inline distT="0" distB="0" distL="0" distR="0">
            <wp:extent cx="4640580" cy="30937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Style w:val="Strong"/>
          <w:rFonts w:ascii="Ubuntu" w:hAnsi="Ubuntu"/>
          <w:b w:val="false"/>
          <w:bCs w:val="false"/>
          <w:sz w:val="24"/>
          <w:szCs w:val="24"/>
        </w:rPr>
        <w:t xml:space="preserve">График RUL-распределения выше </w:t>
      </w:r>
      <w:r>
        <w:rPr>
          <w:rFonts w:ascii="Ubuntu" w:hAnsi="Ubuntu"/>
          <w:b w:val="false"/>
          <w:bCs w:val="false"/>
          <w:sz w:val="24"/>
          <w:szCs w:val="24"/>
        </w:rPr>
        <w:t>показывает равномерное наполнение по всем шагам 60 мин → модель не смещена к коротким или длинным остаткам.</w:t>
      </w:r>
    </w:p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drawing>
          <wp:inline distT="0" distB="0" distL="0" distR="0">
            <wp:extent cx="5486400" cy="54864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Style w:val="Strong"/>
          <w:rFonts w:ascii="Ubuntu" w:hAnsi="Ubuntu"/>
          <w:b w:val="false"/>
          <w:bCs w:val="false"/>
          <w:sz w:val="24"/>
          <w:szCs w:val="24"/>
        </w:rPr>
        <w:t>DTW-матрица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выше имеет отчётливую блочную структуру: блоки по 18-24 строки отвечают усечениям одной и той же исходной траектории, что подтверждает воспроизводимость паттерна деградации внутри каждого отказа.</w:t>
      </w:r>
    </w:p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3. Интерпретация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0"/>
              <w:jc w:val="center"/>
              <w:rPr>
                <w:rFonts w:ascii="Ubuntu" w:hAnsi="Ubuntu"/>
                <w:b/>
                <w:bCs/>
                <w:sz w:val="24"/>
                <w:szCs w:val="24"/>
              </w:rPr>
            </w:pPr>
            <w:r>
              <w:rPr>
                <w:rFonts w:ascii="Ubuntu" w:hAnsi="Ubuntu"/>
                <w:b/>
                <w:bCs/>
                <w:sz w:val="24"/>
                <w:szCs w:val="24"/>
              </w:rPr>
              <w:t>Наблюдение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0"/>
              <w:jc w:val="center"/>
              <w:rPr>
                <w:rFonts w:ascii="Ubuntu" w:hAnsi="Ubuntu"/>
                <w:b/>
                <w:bCs/>
                <w:sz w:val="24"/>
                <w:szCs w:val="24"/>
              </w:rPr>
            </w:pPr>
            <w:r>
              <w:rPr>
                <w:rFonts w:ascii="Ubuntu" w:hAnsi="Ubuntu"/>
                <w:b/>
                <w:bCs/>
                <w:sz w:val="24"/>
                <w:szCs w:val="24"/>
              </w:rPr>
              <w:t>Вывод</w:t>
            </w:r>
          </w:p>
        </w:tc>
      </w:tr>
      <w:tr>
        <w:trPr>
          <w:trHeight w:val="1370" w:hRule="atLeast"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Блочная диагональ в DTW-матрице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Усечения одной и той же физической траектории действительно ближе друг к другу, чем к другим отказам.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Внутри блоков градиент расстояния (от фиолетового к зелёному)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Чем раньше момент времени (больше RUL) — тем сильнее сигналы отличаются от финальной фазы отказа.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RUL = 1200 мин предсказан при относительно «спокойном» сенсоре 22 (средний уровень ~0, редкие всплески)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Модель считает, что деградация находится примерно на первой трети (≈ 80 % ресурса ещё есть), что визуально совпадает: оранжевая эталонная траектория только через ~20 ч достигает резкого падения.</w:t>
            </w:r>
          </w:p>
        </w:tc>
      </w:tr>
      <w:tr>
        <w:trPr>
          <w:trHeight w:val="834" w:hRule="atLeast"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Распределение меток практически ровное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Модель обучена на сбалансированном наборе горизонтов, минимизируя смещение.</w:t>
            </w:r>
          </w:p>
        </w:tc>
      </w:tr>
    </w:tbl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4. Итоговое заключение</w:t>
      </w:r>
    </w:p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Преимущества:</w:t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  <w:u w:val="none"/>
        </w:rPr>
        <w:t xml:space="preserve">- </w:t>
      </w:r>
      <w:r>
        <w:rPr>
          <w:rStyle w:val="Emphasis"/>
          <w:rFonts w:ascii="Ubuntu" w:hAnsi="Ubuntu"/>
          <w:b w:val="false"/>
          <w:bCs w:val="false"/>
          <w:i w:val="false"/>
          <w:iCs w:val="false"/>
          <w:sz w:val="24"/>
          <w:szCs w:val="24"/>
          <w:u w:val="none"/>
        </w:rPr>
        <w:t>Нулевое обучение</w:t>
      </w: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  <w:u w:val="none"/>
        </w:rPr>
        <w:t>: от модели не требуется градиентного тренинга; добавление новых «эталонных» отказов мгновенно расширяет базу.</w:t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  <w:u w:val="none"/>
        </w:rPr>
        <w:t xml:space="preserve">- </w:t>
      </w:r>
      <w:r>
        <w:rPr>
          <w:rStyle w:val="Emphasis"/>
          <w:rFonts w:ascii="Ubuntu" w:hAnsi="Ubuntu"/>
          <w:b w:val="false"/>
          <w:bCs w:val="false"/>
          <w:i w:val="false"/>
          <w:iCs w:val="false"/>
          <w:sz w:val="24"/>
          <w:szCs w:val="24"/>
          <w:u w:val="none"/>
        </w:rPr>
        <w:t>Учёт нелинейностей</w:t>
      </w: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  <w:u w:val="none"/>
        </w:rPr>
        <w:t>: DTW гибко «подтягивает» сигналы во времени, что полезно при вариабельной скорости деградации.</w:t>
      </w:r>
    </w:p>
    <w:p>
      <w:pPr>
        <w:pStyle w:val="BodyText"/>
        <w:jc w:val="both"/>
        <w:rPr/>
      </w:pPr>
      <w:r>
        <w:rPr>
          <w:rStyle w:val="Emphasis"/>
          <w:rFonts w:ascii="Ubuntu" w:hAnsi="Ubuntu"/>
          <w:b w:val="false"/>
          <w:bCs w:val="false"/>
          <w:i w:val="false"/>
          <w:iCs w:val="false"/>
          <w:sz w:val="24"/>
          <w:szCs w:val="24"/>
          <w:u w:val="none"/>
        </w:rPr>
        <w:t>- Интерпретируемость</w:t>
      </w: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  <w:u w:val="none"/>
        </w:rPr>
        <w:t>: можно прямо показать оператору ближайшую историческую аварию и полный путь до отказа (см. рис. 1).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Ограничения: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Рост вычислительной нагрузки O(N²) на матрицу расстояний с увеличением числа эталонов; при десятках тысяч примеров нужна оптимизация/семплинг.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Память: хранится вся база траекторий; для IoT-устройств может потребоваться компрессия.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Чувствительность к масштабированию сенсоров — важно поддерживать одинаковую нормировку.</w:t>
      </w:r>
    </w:p>
    <w:p>
      <w:pPr>
        <w:pStyle w:val="Normal"/>
        <w:spacing w:before="0" w:after="200"/>
        <w:jc w:val="both"/>
        <w:rPr>
          <w:rFonts w:ascii="Ubuntu" w:hAnsi="Ubuntu"/>
          <w:sz w:val="24"/>
          <w:szCs w:val="24"/>
        </w:rPr>
      </w:pPr>
      <w:r>
        <w:rPr>
          <w:rStyle w:val="Strong"/>
          <w:rFonts w:ascii="Ubuntu" w:hAnsi="Ubuntu"/>
          <w:b w:val="false"/>
          <w:bCs w:val="false"/>
          <w:sz w:val="24"/>
          <w:szCs w:val="24"/>
        </w:rPr>
        <w:t xml:space="preserve">Практическая ценность: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Для текущего насоса модель даёт </w:t>
      </w:r>
      <w:r>
        <w:rPr>
          <w:rStyle w:val="Strong"/>
          <w:rFonts w:ascii="Ubuntu" w:hAnsi="Ubuntu"/>
          <w:b w:val="false"/>
          <w:bCs w:val="false"/>
          <w:sz w:val="24"/>
          <w:szCs w:val="24"/>
        </w:rPr>
        <w:t>горизонт раннего предупреждения ≈ 20 часов</w:t>
      </w:r>
      <w:r>
        <w:rPr>
          <w:rFonts w:ascii="Ubuntu" w:hAnsi="Ubuntu"/>
          <w:b w:val="false"/>
          <w:bCs w:val="false"/>
          <w:sz w:val="24"/>
          <w:szCs w:val="24"/>
        </w:rPr>
        <w:t>. Этого достаточно, чтобы запланировать обслуживание без аварийной остановки. Метод особенно удобен на объектах, где накапливаются богатые архивы отказов, а обученные «чёрные ящики» не желательны.</w:t>
      </w:r>
    </w:p>
    <w:sectPr>
      <w:type w:val="nextPage"/>
      <w:pgSz w:w="12240" w:h="15840"/>
      <w:pgMar w:left="1445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Header"/>
    <w:uiPriority w:val="99"/>
    <w:qFormat/>
    <w:rsid w:val="00e618bf"/>
    <w:rPr/>
  </w:style>
  <w:style w:type="character" w:styleId="Style6" w:customStyle="1">
    <w:name w:val="Нижний колонтитул Знак"/>
    <w:basedOn w:val="DefaultParagraphFont"/>
    <w:link w:val="Footer"/>
    <w:uiPriority w:val="99"/>
    <w:qFormat/>
    <w:rsid w:val="00e618bf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Style7" w:customStyle="1">
    <w:name w:val="Заголовок Знак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tyle8" w:customStyle="1">
    <w:name w:val="Подзаголовок Знак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Style9" w:customStyle="1">
    <w:name w:val="Основной текст Знак"/>
    <w:basedOn w:val="DefaultParagraphFont"/>
    <w:uiPriority w:val="99"/>
    <w:qFormat/>
    <w:rsid w:val="00aa1d8d"/>
    <w:rPr/>
  </w:style>
  <w:style w:type="character" w:styleId="21" w:customStyle="1">
    <w:name w:val="Основной текст 2 Знак"/>
    <w:basedOn w:val="DefaultParagraphFont"/>
    <w:link w:val="BodyText2"/>
    <w:uiPriority w:val="99"/>
    <w:qFormat/>
    <w:rsid w:val="00aa1d8d"/>
    <w:rPr/>
  </w:style>
  <w:style w:type="character" w:styleId="31" w:customStyle="1">
    <w:name w:val="Основной текст 3 Знак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Style10" w:customStyle="1">
    <w:name w:val="Текст макроса Знак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Style11" w:customStyle="1">
    <w:name w:val="Выделенная цитата Знак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9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6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Style7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tyle8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21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1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Style10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22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Style11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3"/>
    <w:uiPriority w:val="59"/>
    <w:rsid w:val="00fc69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f3">
    <w:name w:val="Light Shading"/>
    <w:basedOn w:val="a3"/>
    <w:uiPriority w:val="60"/>
    <w:rsid w:val="00fc693f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ff5">
    <w:name w:val="Light Grid"/>
    <w:basedOn w:val="a3"/>
    <w:uiPriority w:val="62"/>
    <w:rsid w:val="00cb0664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13">
    <w:name w:val="Colorful Shading Accent 1"/>
    <w:basedOn w:val="a3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F81BD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23">
    <w:name w:val="Colorful Shading Accent 2"/>
    <w:basedOn w:val="a3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C0504D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33">
    <w:name w:val="Colorful Shading Accent 3"/>
    <w:basedOn w:val="a3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BBB59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8064A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53">
    <w:name w:val="Colorful Shading Accent 5"/>
    <w:basedOn w:val="a3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BACC6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63">
    <w:name w:val="Colorful Shading Accent 6"/>
    <w:basedOn w:val="a3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F79646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aff8">
    <w:name w:val="Colorful List"/>
    <w:basedOn w:val="a3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LibreOffice/24.2.7.2$Linux_X86_64 LibreOffice_project/420$Build-2</Application>
  <AppVersion>15.0000</AppVersion>
  <Pages>4</Pages>
  <Words>462</Words>
  <Characters>2981</Characters>
  <CharactersWithSpaces>3404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2025-07-28T18:08:29Z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