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Техническое задание на создание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docs\02-tz\01-tehnicheskoe-zadanie.md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</w:t>
      </w:r>
    </w:p>
    <w:p>
      <w:r>
        <w:t>→ класс».</w:t>
      </w:r>
    </w:p>
    <w:p>
      <w:pPr>
        <w:pStyle w:val="ListNumber"/>
      </w:pPr>
      <w:r>
        <w:t>Групповая модель доступа (GBAC): права назначаются группам, а не</w:t>
      </w:r>
    </w:p>
    <w:p>
      <w:r>
        <w:t>пользователям; наследование по иерархии; проверка на каждом уровне API.</w:t>
      </w:r>
    </w:p>
    <w:p>
      <w:pPr>
        <w:pStyle w:val="ListNumber"/>
      </w:pPr>
      <w:r>
        <w:t>Микросервисная архитектура: каждый функционал — отдельный сервис с</w:t>
      </w:r>
    </w:p>
    <w:p>
      <w:r>
        <w:t>манифестом, правами и возможностью независимого развёртывания.</w:t>
      </w:r>
    </w:p>
    <w:p>
      <w:pPr>
        <w:pStyle w:val="ListNumber"/>
      </w:pPr>
      <w:r>
        <w:t>Управление включением/отключением сервисов на любой области иерархии;</w:t>
      </w:r>
    </w:p>
    <w:p>
      <w:r>
        <w:t>клиент отображает только включённое и разрешённое.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4.1.1. Требования к микросервисам</w:t>
      </w:r>
    </w:p>
    <w:p>
      <w:pPr>
        <w:pStyle w:val="ListBullet"/>
      </w:pPr>
      <w:r>
        <w:t>Единый каталог сервисов (</w:t>
      </w:r>
      <w:r>
        <w:rPr>
          <w:rFonts w:ascii="Consolas" w:hAnsi="Consolas"/>
          <w:sz w:val="18"/>
        </w:rPr>
        <w:t>system.services</w:t>
      </w:r>
      <w:r>
        <w:t>) с кодом, версией, API-префиксом,</w:t>
      </w:r>
    </w:p>
    <w:p>
      <w:r>
        <w:t>категорией, зависимостями и правами.</w:t>
      </w:r>
    </w:p>
    <w:p>
      <w:pPr>
        <w:pStyle w:val="ListBullet"/>
      </w:pPr>
      <w:r>
        <w:t>Режим общего шлюза для пилота и режим отдельного процесса для промышленной</w:t>
      </w:r>
    </w:p>
    <w:p>
      <w:r>
        <w:t>эксплуатации.</w:t>
      </w:r>
    </w:p>
    <w:p>
      <w:pPr>
        <w:pStyle w:val="ListBullet"/>
      </w:pPr>
      <w:r>
        <w:t>Независимые миграции и откат сервиса.</w:t>
      </w:r>
    </w:p>
    <w:p>
      <w:pPr>
        <w:pStyle w:val="ListBullet"/>
      </w:pPr>
      <w:r>
        <w:t xml:space="preserve">Контракт: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>, версия API, JWT, tenant/scope-контекст,</w:t>
      </w:r>
    </w:p>
    <w:p>
      <w:r>
        <w:rPr>
          <w:rFonts w:ascii="Consolas" w:hAnsi="Consolas"/>
          <w:sz w:val="18"/>
        </w:rPr>
        <w:t>request_id</w:t>
      </w:r>
      <w:r>
        <w:t>, идемпотентность.</w:t>
      </w:r>
    </w:p>
    <w:p>
      <w:pPr>
        <w:pStyle w:val="ListBullet"/>
      </w:pPr>
      <w:r>
        <w:t>Запрет прямых запросов в чужие схемы БД, кроме аналитических представлений.</w:t>
      </w:r>
    </w:p>
    <w:p>
      <w:pPr>
        <w:pStyle w:val="ListBullet"/>
      </w:pPr>
      <w:r>
        <w:t>Отключение сервиса не должно ломать ядро (IAM, Org, System, Audit).</w:t>
      </w:r>
    </w:p>
    <w:p>
      <w:pPr>
        <w:pStyle w:val="Heading3"/>
      </w:pPr>
      <w:r>
        <w:t>4.1.2. Требования к группам и правам</w:t>
      </w:r>
    </w:p>
    <w:p>
      <w:pPr>
        <w:pStyle w:val="ListBullet"/>
      </w:pPr>
      <w:r>
        <w:t>Группы создаются на уровнях класса, школы, города/района, области, страны.</w:t>
      </w:r>
    </w:p>
    <w:p>
      <w:pPr>
        <w:pStyle w:val="ListBullet"/>
      </w:pPr>
      <w:r>
        <w:t>Категории групп: ученики, учителя, администрация, методисты, психологи,</w:t>
      </w:r>
    </w:p>
    <w:p>
      <w:r>
        <w:t>секретариат, родители, прочие.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+ организационные предки той же категории.</w:t>
      </w:r>
    </w:p>
    <w:p>
      <w:pPr>
        <w:pStyle w:val="ListBullet"/>
      </w:pPr>
      <w:r>
        <w:t>Конфликты: более конкретная область побеждает;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>Перевод пользователя между группами автоматически меняет его полномочия.</w:t>
      </w:r>
    </w:p>
    <w:p>
      <w:pPr>
        <w:pStyle w:val="ListBullet"/>
      </w:pPr>
      <w:r>
        <w:t>Администратор может управлять только своей областью и её потомками.</w:t>
      </w:r>
    </w:p>
    <w:p>
      <w:pPr>
        <w:pStyle w:val="ListBullet"/>
      </w:pPr>
      <w:r>
        <w:t>Все изменения групп, членств и прав аудируются.</w:t>
      </w:r>
    </w:p>
    <w:p>
      <w:pPr>
        <w:pStyle w:val="ListBullet"/>
      </w:pPr>
      <w:r>
        <w:t xml:space="preserve">Клиент получает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 xml:space="preserve"> для построения</w:t>
      </w:r>
    </w:p>
    <w:p>
      <w:r>
        <w:t>интерфейса.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реестр сервисов и управление включением функционала;</w:t>
      </w:r>
    </w:p>
    <w:p>
      <w:pPr>
        <w:pStyle w:val="ListBullet"/>
      </w:pPr>
      <w:r>
        <w:t>иерархические группы и наследуемые права;</w:t>
      </w:r>
    </w:p>
    <w:p>
      <w:pPr>
        <w:pStyle w:val="ListBullet"/>
      </w:pPr>
      <w:r>
        <w:t>республиканские, областные и городские панели управления.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Микросервисы ШК-03-04.</w:t>
      </w:r>
    </w:p>
    <w:p>
      <w:pPr>
        <w:pStyle w:val="ListBullet"/>
      </w:pPr>
      <w:r>
        <w:t>Группы и права ШК-03-05.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Модель групп и сервисов ШК-04-02.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Group-Based Access Control, групповое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Самостоятельный доменный сервис с собственным API и манифестом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сервиса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для области иерархии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Scope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 иерархии: страна, область, город, школа, класс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