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Функциональные требования по ролям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docs\02-tz\02-funkcionalnye-trebovaniya-po-rolyam.md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pPr>
        <w:pStyle w:val="Heading2"/>
      </w:pPr>
      <w:r>
        <w:t>11. Групповая модель и управление функционалом</w:t>
      </w:r>
    </w:p>
    <w:p>
      <w:pPr>
        <w:pStyle w:val="Heading3"/>
      </w:pPr>
      <w:r>
        <w:t>11.1. Группы и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назначаются только группам, не пользователям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уровнях страна/область/город/школа/класс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Категории: ученики, учителя, администрация, методисты, психологи, секретариат, родители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 прав по иерархии и явному родителю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Конфликты: конкретная область побеждает, deny при равенстве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пользователя между группами меняет полномочия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Временные членства и права по сроку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Границы полномочий администратора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изменений групп, членств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/me/permissions</w:t>
            </w:r>
            <w:r>
              <w:rPr>
                <w:sz w:val="18"/>
              </w:rPr>
              <w:t xml:space="preserve"> для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11.2. Сервисы и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микросервисов с манифестами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на любой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Ядровые сервисы нельзя отключить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Наиболее конкретная активация побеждает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/me/services</w:t>
            </w:r>
            <w:r>
              <w:rPr>
                <w:sz w:val="18"/>
              </w:rPr>
              <w:t xml:space="preserve"> для навигации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сервиса per-scope (config)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изменения активаций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Зависимости сервисов и проверка при включении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Health/OpenAPI/метрики каждого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11.3. Административные уровни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панель: все области и сервисы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Областная панель: свои города 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Городская панель: свои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Школьная панель: школа и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Классная панель: делегированные функции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