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Архитектура системы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docs\03-architecture\01-arhitektura.md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Для первой промышленной версии принимается </w:t>
      </w:r>
      <w:r>
        <w:rPr>
          <w:b/>
        </w:rPr>
        <w:t>модульный монолит</w:t>
      </w:r>
      <w:r>
        <w:t xml:space="preserve"> на FastAPI с</w:t>
      </w:r>
    </w:p>
    <w:p>
      <w:r>
        <w:t>чётким разделением доменов, асинхронными фоновыми задачами и отдельными</w:t>
      </w:r>
    </w:p>
    <w:p>
      <w:r>
        <w:t>сервисами для медиа, messaging и AI. Это снижает сложность разработки и</w:t>
      </w:r>
    </w:p>
    <w:p>
      <w:r>
        <w:t>эксплуатации по сравнению с преждевременными микросервисами, но сохраняет</w:t>
      </w:r>
    </w:p>
    <w:p>
      <w:r>
        <w:t>возможность горизонтального масштабирования и постепенного выделения сервисов.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роли,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pPr>
        <w:pStyle w:val="Heading3"/>
      </w:pPr>
      <w:r>
        <w:t>2.4.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2.5.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