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Техническое задание на создание ЕООП «Школьник»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docs\02-tz\01-tehnicheskoe-zadanie.md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Техническое задание на создание ЕООП «Школьник»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 для согласования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Основание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Концепция ШК-01-01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Стандарт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 (структура ТЗ на АС)</w:t>
            </w:r>
          </w:p>
        </w:tc>
      </w:tr>
    </w:tbl>
    <w:p/>
    <w:p>
      <w:pPr>
        <w:pStyle w:val="Heading2"/>
      </w:pPr>
      <w:r>
        <w:t>1. Общие сведения</w:t>
      </w:r>
    </w:p>
    <w:p>
      <w:pPr>
        <w:pStyle w:val="Heading3"/>
      </w:pPr>
      <w:r>
        <w:t>1.1. Наименование системы</w:t>
      </w:r>
    </w:p>
    <w:p>
      <w:r>
        <w:t>Единая общеобразовательная обучающая платформа «Школьник» (далее — Система,</w:t>
      </w:r>
    </w:p>
    <w:p>
      <w:r>
        <w:t>Платформа).</w:t>
      </w:r>
    </w:p>
    <w:p>
      <w:pPr>
        <w:pStyle w:val="Heading3"/>
      </w:pPr>
      <w:r>
        <w:t>1.2. Заказчик</w:t>
      </w:r>
    </w:p>
    <w:p>
      <w:r>
        <w:t>Министерство образования Республики Беларусь (предполагаемый заказчик);</w:t>
      </w:r>
    </w:p>
    <w:p>
      <w:r>
        <w:t>конкретный заказчик и оператор определяются распорядительным документом.</w:t>
      </w:r>
    </w:p>
    <w:p>
      <w:pPr>
        <w:pStyle w:val="Heading3"/>
      </w:pPr>
      <w:r>
        <w:t>1.3. Разработчик</w:t>
      </w:r>
    </w:p>
    <w:p>
      <w:r>
        <w:t>Определяется по результатам конкурсной процедуры. До этого документ носит</w:t>
      </w:r>
    </w:p>
    <w:p>
      <w:r>
        <w:t>проектный характер.</w:t>
      </w:r>
    </w:p>
    <w:p>
      <w:pPr>
        <w:pStyle w:val="Heading3"/>
      </w:pPr>
      <w:r>
        <w:t>1.4. Основание для разработки</w:t>
      </w:r>
    </w:p>
    <w:p>
      <w:pPr>
        <w:pStyle w:val="ListBullet"/>
      </w:pPr>
      <w:r>
        <w:t>Государственная политика цифровизации образования Республики Беларусь.</w:t>
      </w:r>
    </w:p>
    <w:p>
      <w:pPr>
        <w:pStyle w:val="ListBullet"/>
      </w:pPr>
      <w:r>
        <w:t>Необходимость единой среды обучения и управления качеством образования.</w:t>
      </w:r>
    </w:p>
    <w:p>
      <w:pPr>
        <w:pStyle w:val="ListBullet"/>
      </w:pPr>
      <w:r>
        <w:t>Требования к защите персональных данных и информационной безопасности.</w:t>
      </w:r>
    </w:p>
    <w:p>
      <w:pPr>
        <w:pStyle w:val="ListBullet"/>
      </w:pPr>
      <w:r>
        <w:t>Действующая версия платформы на Flask/SQLite как источник функционала.</w:t>
      </w:r>
    </w:p>
    <w:p>
      <w:pPr>
        <w:pStyle w:val="Heading3"/>
      </w:pPr>
      <w:r>
        <w:t>1.5. Сроки</w:t>
      </w:r>
    </w:p>
    <w:p>
      <w:r>
        <w:t>Определяются календарным планом (ШК-08-01, ШК-08-02). Ориентировочный цикл</w:t>
      </w:r>
    </w:p>
    <w:p>
      <w:r>
        <w:t>до промышленной эксплуатации — 18–24 месяца с учётом испытаний и аттестации.</w:t>
      </w:r>
    </w:p>
    <w:p>
      <w:pPr>
        <w:pStyle w:val="Heading2"/>
      </w:pPr>
      <w:r>
        <w:t>2. Назначение и цели создания Системы</w:t>
      </w:r>
    </w:p>
    <w:p>
      <w:pPr>
        <w:pStyle w:val="Heading3"/>
      </w:pPr>
      <w:r>
        <w:t>2.1. Назначение</w:t>
      </w:r>
    </w:p>
    <w:p>
      <w:r>
        <w:t>Обеспечить единый защищённый цифровой контур общего среднего образования:</w:t>
      </w:r>
    </w:p>
    <w:p>
      <w:r>
        <w:t>обучение, диагностику, контроль, коммуникацию, документооборот и аналитику</w:t>
      </w:r>
    </w:p>
    <w:p>
      <w:r>
        <w:t>для учеников 1–11 классов, родителей, учителей, школ и органов управления.</w:t>
      </w:r>
    </w:p>
    <w:p>
      <w:pPr>
        <w:pStyle w:val="Heading3"/>
      </w:pPr>
      <w:r>
        <w:t>2.2. Цели</w:t>
      </w:r>
    </w:p>
    <w:p>
      <w:pPr>
        <w:pStyle w:val="ListNumber"/>
      </w:pPr>
      <w:r>
        <w:t>Повысить доступность качественного образовательного контента.</w:t>
      </w:r>
    </w:p>
    <w:p>
      <w:pPr>
        <w:pStyle w:val="ListNumber"/>
      </w:pPr>
      <w:r>
        <w:t>Обеспечить индивидуальные траектории с учётом возраста и уровня.</w:t>
      </w:r>
    </w:p>
    <w:p>
      <w:pPr>
        <w:pStyle w:val="ListNumber"/>
      </w:pPr>
      <w:r>
        <w:t>Снизить рутинную нагрузку учителя.</w:t>
      </w:r>
    </w:p>
    <w:p>
      <w:pPr>
        <w:pStyle w:val="ListNumber"/>
      </w:pPr>
      <w:r>
        <w:t>Дать родителю прозрачный и удобный контроль.</w:t>
      </w:r>
    </w:p>
    <w:p>
      <w:pPr>
        <w:pStyle w:val="ListNumber"/>
      </w:pPr>
      <w:r>
        <w:t>Обеспечить двустороннюю связь «ученик — родитель — учитель — школа».</w:t>
      </w:r>
    </w:p>
    <w:p>
      <w:pPr>
        <w:pStyle w:val="ListNumber"/>
      </w:pPr>
      <w:r>
        <w:t>Автоматизировать отчётность по требованиям Министерства образования.</w:t>
      </w:r>
    </w:p>
    <w:p>
      <w:pPr>
        <w:pStyle w:val="ListNumber"/>
      </w:pPr>
      <w:r>
        <w:t>Обеспечить безопасность и защиту ПДн несовершеннолетних.</w:t>
      </w:r>
    </w:p>
    <w:p>
      <w:pPr>
        <w:pStyle w:val="ListNumber"/>
      </w:pPr>
      <w:r>
        <w:t>Создать масштабируемую платформу республиканского уровня.</w:t>
      </w:r>
    </w:p>
    <w:p>
      <w:pPr>
        <w:pStyle w:val="Heading3"/>
      </w:pPr>
      <w:r>
        <w:t>2.3. Целевые показатели</w:t>
      </w:r>
    </w:p>
    <w:p>
      <w:pPr>
        <w:pStyle w:val="ListBullet"/>
      </w:pPr>
      <w:r>
        <w:t>Доступность сервиса не ниже 99,9% для промышленной эксплуатации.</w:t>
      </w:r>
    </w:p>
    <w:p>
      <w:pPr>
        <w:pStyle w:val="ListBullet"/>
      </w:pPr>
      <w:r>
        <w:t>Время отклика ключевых операций — не более 2 секунд при нормальной нагрузке.</w:t>
      </w:r>
    </w:p>
    <w:p>
      <w:pPr>
        <w:pStyle w:val="ListBullet"/>
      </w:pPr>
      <w:r>
        <w:t>Поддержка не менее 1 млн зарегистрированных пользователей и 100 тыс.</w:t>
      </w:r>
    </w:p>
    <w:p>
      <w:r>
        <w:t>одновременных сессий в целевой архитектуре.</w:t>
      </w:r>
    </w:p>
    <w:p>
      <w:pPr>
        <w:pStyle w:val="ListBullet"/>
      </w:pPr>
      <w:r>
        <w:t>Офлайн-прохождение урока и синхронизация при восстановлении связи.</w:t>
      </w:r>
    </w:p>
    <w:p>
      <w:pPr>
        <w:pStyle w:val="ListBullet"/>
      </w:pPr>
      <w:r>
        <w:t>Полный паритет функций Web, Android и iOS.</w:t>
      </w:r>
    </w:p>
    <w:p>
      <w:pPr>
        <w:pStyle w:val="Heading2"/>
      </w:pPr>
      <w:r>
        <w:t>3. Характеристика объектов автоматизации</w:t>
      </w:r>
    </w:p>
    <w:p>
      <w:r>
        <w:t>Объекты: учреждения общего среднего образования, классы 1–11, учебные</w:t>
      </w:r>
    </w:p>
    <w:p>
      <w:r>
        <w:t>программы, учебные пособия, электронный журнал, работы и задания, портфолио,</w:t>
      </w:r>
    </w:p>
    <w:p>
      <w:r>
        <w:t>коммуникации, документооборот, психологическая служба, аналитика.</w:t>
      </w:r>
    </w:p>
    <w:p>
      <w:r>
        <w:t>Особенности:</w:t>
      </w:r>
    </w:p>
    <w:p>
      <w:pPr>
        <w:pStyle w:val="ListBullet"/>
      </w:pPr>
      <w:r>
        <w:t>два государственных языка (русский, белорусский) и иностранные языки;</w:t>
      </w:r>
    </w:p>
    <w:p>
      <w:pPr>
        <w:pStyle w:val="ListBullet"/>
      </w:pPr>
      <w:r>
        <w:t>разные возрастные группы и уровни подготовки;</w:t>
      </w:r>
    </w:p>
    <w:p>
      <w:pPr>
        <w:pStyle w:val="ListBullet"/>
      </w:pPr>
      <w:r>
        <w:t>разные технические условия школ и семей;</w:t>
      </w:r>
    </w:p>
    <w:p>
      <w:pPr>
        <w:pStyle w:val="ListBullet"/>
      </w:pPr>
      <w:r>
        <w:t>сезонные пиковые нагрузки (начало четверти, контрольные, ЦТ/ЦЭ);</w:t>
      </w:r>
    </w:p>
    <w:p>
      <w:pPr>
        <w:pStyle w:val="ListBullet"/>
      </w:pPr>
      <w:r>
        <w:t>строгие требования к ПДн детей.</w:t>
      </w:r>
    </w:p>
    <w:p>
      <w:pPr>
        <w:pStyle w:val="Heading2"/>
      </w:pPr>
      <w:r>
        <w:t>4. Требования к Системе</w:t>
      </w:r>
    </w:p>
    <w:p>
      <w:pPr>
        <w:pStyle w:val="Heading3"/>
      </w:pPr>
      <w:r>
        <w:t>4.1. Требования к системе в целом</w:t>
      </w:r>
    </w:p>
    <w:p>
      <w:pPr>
        <w:pStyle w:val="ListNumber"/>
      </w:pPr>
      <w:r>
        <w:t>Омниканальность: Web, Android, iOS, PWA.</w:t>
      </w:r>
    </w:p>
    <w:p>
      <w:pPr>
        <w:pStyle w:val="ListNumber"/>
      </w:pPr>
      <w:r>
        <w:t>Единая авторизация и синхронизация данных между устройствами.</w:t>
      </w:r>
    </w:p>
    <w:p>
      <w:pPr>
        <w:pStyle w:val="ListNumber"/>
      </w:pPr>
      <w:r>
        <w:t>Мультитенантность с иерархией «республика → область → город/район → школа».</w:t>
      </w:r>
    </w:p>
    <w:p>
      <w:pPr>
        <w:pStyle w:val="ListNumber"/>
      </w:pPr>
      <w:r>
        <w:t>RBAC и проверка прав на каждом уровне API.</w:t>
      </w:r>
    </w:p>
    <w:p>
      <w:pPr>
        <w:pStyle w:val="ListNumber"/>
      </w:pPr>
      <w:r>
        <w:t>Мультиязычность интерфейса и контента.</w:t>
      </w:r>
    </w:p>
    <w:p>
      <w:pPr>
        <w:pStyle w:val="ListNumber"/>
      </w:pPr>
      <w:r>
        <w:t>Офлайн-режим и устойчивая синхронизация.</w:t>
      </w:r>
    </w:p>
    <w:p>
      <w:pPr>
        <w:pStyle w:val="ListNumber"/>
      </w:pPr>
      <w:r>
        <w:t>Адаптивные интерфейсы по возрастным группам.</w:t>
      </w:r>
    </w:p>
    <w:p>
      <w:pPr>
        <w:pStyle w:val="ListNumber"/>
      </w:pPr>
      <w:r>
        <w:t>Доступность (контрастность, масштабирование, screen readers).</w:t>
      </w:r>
    </w:p>
    <w:p>
      <w:pPr>
        <w:pStyle w:val="ListNumber"/>
      </w:pPr>
      <w:r>
        <w:t>Аудит действий и журналирование событий безопасности.</w:t>
      </w:r>
    </w:p>
    <w:p>
      <w:pPr>
        <w:pStyle w:val="ListNumber"/>
      </w:pPr>
      <w:r>
        <w:t>Резервное копирование и восстановление.</w:t>
      </w:r>
    </w:p>
    <w:p>
      <w:pPr>
        <w:pStyle w:val="ListNumber"/>
      </w:pPr>
      <w:r>
        <w:t>Мониторинг, алертинг, трассировка.</w:t>
      </w:r>
    </w:p>
    <w:p>
      <w:pPr>
        <w:pStyle w:val="ListNumber"/>
      </w:pPr>
      <w:r>
        <w:t>API-first и документирование OpenAPI.</w:t>
      </w:r>
    </w:p>
    <w:p>
      <w:pPr>
        <w:pStyle w:val="Heading3"/>
      </w:pPr>
      <w:r>
        <w:t>4.2. Требования к функциям</w:t>
      </w:r>
    </w:p>
    <w:p>
      <w:r>
        <w:t>Полный перечень — в ШК-02-02. Обязательные функциональные блоки:</w:t>
      </w:r>
    </w:p>
    <w:p>
      <w:pPr>
        <w:pStyle w:val="ListBullet"/>
      </w:pPr>
      <w:r>
        <w:t>управление пользователями, ролями и организациями;</w:t>
      </w:r>
    </w:p>
    <w:p>
      <w:pPr>
        <w:pStyle w:val="ListBullet"/>
      </w:pPr>
      <w:r>
        <w:t>контент и обучение (темы, уроки, пособия, медиа);</w:t>
      </w:r>
    </w:p>
    <w:p>
      <w:pPr>
        <w:pStyle w:val="ListBullet"/>
      </w:pPr>
      <w:r>
        <w:t>оценивание (тесты, работы, задания, журнал);</w:t>
      </w:r>
    </w:p>
    <w:p>
      <w:pPr>
        <w:pStyle w:val="ListBullet"/>
      </w:pPr>
      <w:r>
        <w:t>коммуникации (мессенджер, видео, уведомления);</w:t>
      </w:r>
    </w:p>
    <w:p>
      <w:pPr>
        <w:pStyle w:val="ListBullet"/>
      </w:pPr>
      <w:r>
        <w:t>родительский кабинет (мультидетность, GPS, документы);</w:t>
      </w:r>
    </w:p>
    <w:p>
      <w:pPr>
        <w:pStyle w:val="ListBullet"/>
      </w:pPr>
      <w:r>
        <w:t>школьная администрация (кадры, расписание, отчётность);</w:t>
      </w:r>
    </w:p>
    <w:p>
      <w:pPr>
        <w:pStyle w:val="ListBullet"/>
      </w:pPr>
      <w:r>
        <w:t>секретариат (справки, заявления, согласия);</w:t>
      </w:r>
    </w:p>
    <w:p>
      <w:pPr>
        <w:pStyle w:val="ListBullet"/>
      </w:pPr>
      <w:r>
        <w:t>методист (контент, валидация ИИ, нормативные документы);</w:t>
      </w:r>
    </w:p>
    <w:p>
      <w:pPr>
        <w:pStyle w:val="ListBullet"/>
      </w:pPr>
      <w:r>
        <w:t>психолог (анонимные обращения, эскалация);</w:t>
      </w:r>
    </w:p>
    <w:p>
      <w:pPr>
        <w:pStyle w:val="ListBullet"/>
      </w:pPr>
      <w:r>
        <w:t>иерархия администраторов и BI-аналитика;</w:t>
      </w:r>
    </w:p>
    <w:p>
      <w:pPr>
        <w:pStyle w:val="ListBullet"/>
      </w:pPr>
      <w:r>
        <w:t>ИИ-оркестратор (генерация, проверка, объяснения);</w:t>
      </w:r>
    </w:p>
    <w:p>
      <w:pPr>
        <w:pStyle w:val="ListBullet"/>
      </w:pPr>
      <w:r>
        <w:t>портфолио, достижения, профориентация;</w:t>
      </w:r>
    </w:p>
    <w:p>
      <w:pPr>
        <w:pStyle w:val="ListBullet"/>
      </w:pPr>
      <w:r>
        <w:t>офлайн-синхронизация.</w:t>
      </w:r>
    </w:p>
    <w:p>
      <w:pPr>
        <w:pStyle w:val="Heading3"/>
      </w:pPr>
      <w:r>
        <w:t>4.3. Требования к интеграциям</w:t>
      </w:r>
    </w:p>
    <w:p>
      <w:pPr>
        <w:pStyle w:val="ListBullet"/>
      </w:pPr>
      <w:r>
        <w:t>Государственный электронный журнал/дневник.</w:t>
      </w:r>
    </w:p>
    <w:p>
      <w:pPr>
        <w:pStyle w:val="ListBullet"/>
      </w:pPr>
      <w:r>
        <w:t>Республиканская информационно-образовательная среда (РИОС) и</w:t>
      </w:r>
    </w:p>
    <w:p>
      <w:r>
        <w:t>«Информационное ядро» — через утверждённые адаптеры.</w:t>
      </w:r>
    </w:p>
    <w:p>
      <w:pPr>
        <w:pStyle w:val="ListBullet"/>
      </w:pPr>
      <w:r>
        <w:t>ЕСИ/SSO — при наличии утверждённого регламента.</w:t>
      </w:r>
    </w:p>
    <w:p>
      <w:pPr>
        <w:pStyle w:val="ListBullet"/>
      </w:pPr>
      <w:r>
        <w:t>Внешние мессенджеры и видеосервисы — только по разрешению администратора.</w:t>
      </w:r>
    </w:p>
    <w:p>
      <w:pPr>
        <w:pStyle w:val="ListBullet"/>
      </w:pPr>
      <w:r>
        <w:t>GPS-провайдеры — только с согласия законных представителей.</w:t>
      </w:r>
    </w:p>
    <w:p>
      <w:pPr>
        <w:pStyle w:val="ListBullet"/>
      </w:pPr>
      <w:r>
        <w:t>Платёжные и инфраструктурные сервисы — при необходимости, по отдельному ТЗ.</w:t>
      </w:r>
    </w:p>
    <w:p>
      <w:pPr>
        <w:pStyle w:val="Heading3"/>
      </w:pPr>
      <w:r>
        <w:t>4.4. Требования к данным</w:t>
      </w:r>
    </w:p>
    <w:p>
      <w:pPr>
        <w:pStyle w:val="ListBullet"/>
      </w:pPr>
      <w:r>
        <w:t>Основная БД — PostgreSQL.</w:t>
      </w:r>
    </w:p>
    <w:p>
      <w:pPr>
        <w:pStyle w:val="ListBullet"/>
      </w:pPr>
      <w:r>
        <w:t>Мультиязычные поля — JSONB.</w:t>
      </w:r>
    </w:p>
    <w:p>
      <w:pPr>
        <w:pStyle w:val="ListBullet"/>
      </w:pPr>
      <w:r>
        <w:t>Файлы — S3-совместимое хранилище.</w:t>
      </w:r>
    </w:p>
    <w:p>
      <w:pPr>
        <w:pStyle w:val="ListBullet"/>
      </w:pPr>
      <w:r>
        <w:t>Шифрование каналов — TLS 1.2+.</w:t>
      </w:r>
    </w:p>
    <w:p>
      <w:pPr>
        <w:pStyle w:val="ListBullet"/>
      </w:pPr>
      <w:r>
        <w:t>Секреты — в защищённом хранилище, не в Git.</w:t>
      </w:r>
    </w:p>
    <w:p>
      <w:pPr>
        <w:pStyle w:val="ListBullet"/>
      </w:pPr>
      <w:r>
        <w:t>Резервное копирование — ежедневно, с проверкой восстановления.</w:t>
      </w:r>
    </w:p>
    <w:p>
      <w:pPr>
        <w:pStyle w:val="ListBullet"/>
      </w:pPr>
      <w:r>
        <w:t>Сроки хранения — по законодательству и политике оператора.</w:t>
      </w:r>
    </w:p>
    <w:p>
      <w:pPr>
        <w:pStyle w:val="Heading3"/>
      </w:pPr>
      <w:r>
        <w:t>4.5. Требования к безопасности</w:t>
      </w:r>
    </w:p>
    <w:p>
      <w:pPr>
        <w:pStyle w:val="ListBullet"/>
      </w:pPr>
      <w:r>
        <w:t>Соответствие Закону Республики Беларусь № 99-З «О защите персональных</w:t>
      </w:r>
    </w:p>
    <w:p>
      <w:r>
        <w:t>данных».</w:t>
      </w:r>
    </w:p>
    <w:p>
      <w:pPr>
        <w:pStyle w:val="ListBullet"/>
      </w:pPr>
      <w:r>
        <w:t>Аттестация системы защиты информации в установленном порядке.</w:t>
      </w:r>
    </w:p>
    <w:p>
      <w:pPr>
        <w:pStyle w:val="ListBullet"/>
      </w:pPr>
      <w:r>
        <w:t>Использование сертифицированных средств криптографической защиты, если</w:t>
      </w:r>
    </w:p>
    <w:p>
      <w:r>
        <w:t>это требуется для конкретных каналов/сценариев.</w:t>
      </w:r>
    </w:p>
    <w:p>
      <w:pPr>
        <w:pStyle w:val="ListBullet"/>
      </w:pPr>
      <w:r>
        <w:t>Разграничение доступа, аудит, защита от OWASP Top 10.</w:t>
      </w:r>
    </w:p>
    <w:p>
      <w:pPr>
        <w:pStyle w:val="ListBullet"/>
      </w:pPr>
      <w:r>
        <w:t>Обязательное согласие законных представителей на обработку ПДн детей.</w:t>
      </w:r>
    </w:p>
    <w:p>
      <w:pPr>
        <w:pStyle w:val="ListBullet"/>
      </w:pPr>
      <w:r>
        <w:t>Минимизация данных, обезличивание в аналитике.</w:t>
      </w:r>
    </w:p>
    <w:p>
      <w:pPr>
        <w:pStyle w:val="ListBullet"/>
      </w:pPr>
      <w:r>
        <w:t>Запрет рекламы и сторонней аналитики в детских интерфейсах.</w:t>
      </w:r>
    </w:p>
    <w:p>
      <w:pPr>
        <w:pStyle w:val="Heading3"/>
      </w:pPr>
      <w:r>
        <w:t>4.6. Требования к надёжности</w:t>
      </w:r>
    </w:p>
    <w:p>
      <w:pPr>
        <w:pStyle w:val="ListBullet"/>
      </w:pPr>
      <w:r>
        <w:t>Кластерная конфигурация БД и приложений.</w:t>
      </w:r>
    </w:p>
    <w:p>
      <w:pPr>
        <w:pStyle w:val="ListBullet"/>
      </w:pPr>
      <w:r>
        <w:t>Автоматическое восстановление после сбоя.</w:t>
      </w:r>
    </w:p>
    <w:p>
      <w:pPr>
        <w:pStyle w:val="ListBullet"/>
      </w:pPr>
      <w:r>
        <w:t>Резервное копирование и регулярные учения.</w:t>
      </w:r>
    </w:p>
    <w:p>
      <w:pPr>
        <w:pStyle w:val="ListBullet"/>
      </w:pPr>
      <w:r>
        <w:t>Деградация функций без полной остановки сервиса.</w:t>
      </w:r>
    </w:p>
    <w:p>
      <w:pPr>
        <w:pStyle w:val="ListBullet"/>
      </w:pPr>
      <w:r>
        <w:t>Очереди для фоновых операций.</w:t>
      </w:r>
    </w:p>
    <w:p>
      <w:pPr>
        <w:pStyle w:val="Heading3"/>
      </w:pPr>
      <w:r>
        <w:t>4.7. Требования к эксплуатации</w:t>
      </w:r>
    </w:p>
    <w:p>
      <w:pPr>
        <w:pStyle w:val="ListBullet"/>
      </w:pPr>
      <w:r>
        <w:t>Централизованное логирование и мониторинг.</w:t>
      </w:r>
    </w:p>
    <w:p>
      <w:pPr>
        <w:pStyle w:val="ListBullet"/>
      </w:pPr>
      <w:r>
        <w:t>Регламент обновлений и отката.</w:t>
      </w:r>
    </w:p>
    <w:p>
      <w:pPr>
        <w:pStyle w:val="ListBullet"/>
      </w:pPr>
      <w:r>
        <w:t>Техническая поддержка и служба эксплуатации.</w:t>
      </w:r>
    </w:p>
    <w:p>
      <w:pPr>
        <w:pStyle w:val="ListBullet"/>
      </w:pPr>
      <w:r>
        <w:t>Обучение администраторов и учителей.</w:t>
      </w:r>
    </w:p>
    <w:p>
      <w:pPr>
        <w:pStyle w:val="ListBullet"/>
      </w:pPr>
      <w:r>
        <w:t>Документация для пользователей и администраторов.</w:t>
      </w:r>
    </w:p>
    <w:p>
      <w:pPr>
        <w:pStyle w:val="Heading3"/>
      </w:pPr>
      <w:r>
        <w:t>4.8. Требования к документированию</w:t>
      </w:r>
    </w:p>
    <w:p>
      <w:r>
        <w:t>Комплект документов по ГОСТ 34.201 и РД 50-34.698:</w:t>
      </w:r>
    </w:p>
    <w:p>
      <w:pPr>
        <w:pStyle w:val="ListBullet"/>
      </w:pPr>
      <w:r>
        <w:t>ТЗ;</w:t>
      </w:r>
    </w:p>
    <w:p>
      <w:pPr>
        <w:pStyle w:val="ListBullet"/>
      </w:pPr>
      <w:r>
        <w:t>концепция;</w:t>
      </w:r>
    </w:p>
    <w:p>
      <w:pPr>
        <w:pStyle w:val="ListBullet"/>
      </w:pPr>
      <w:r>
        <w:t>архитектура;</w:t>
      </w:r>
    </w:p>
    <w:p>
      <w:pPr>
        <w:pStyle w:val="ListBullet"/>
      </w:pPr>
      <w:r>
        <w:t>модель данных;</w:t>
      </w:r>
    </w:p>
    <w:p>
      <w:pPr>
        <w:pStyle w:val="ListBullet"/>
      </w:pPr>
      <w:r>
        <w:t>программа и методика испытаний;</w:t>
      </w:r>
    </w:p>
    <w:p>
      <w:pPr>
        <w:pStyle w:val="ListBullet"/>
      </w:pPr>
      <w:r>
        <w:t>руководство пользователя;</w:t>
      </w:r>
    </w:p>
    <w:p>
      <w:pPr>
        <w:pStyle w:val="ListBullet"/>
      </w:pPr>
      <w:r>
        <w:t>руководство администратора;</w:t>
      </w:r>
    </w:p>
    <w:p>
      <w:pPr>
        <w:pStyle w:val="ListBullet"/>
      </w:pPr>
      <w:r>
        <w:t>руководство по развёртыванию;</w:t>
      </w:r>
    </w:p>
    <w:p>
      <w:pPr>
        <w:pStyle w:val="ListBullet"/>
      </w:pPr>
      <w:r>
        <w:t>документы по защите информации;</w:t>
      </w:r>
    </w:p>
    <w:p>
      <w:pPr>
        <w:pStyle w:val="ListBullet"/>
      </w:pPr>
      <w:r>
        <w:t>акты испытаний и приёмки.</w:t>
      </w:r>
    </w:p>
    <w:p>
      <w:pPr>
        <w:pStyle w:val="Heading2"/>
      </w:pPr>
      <w:r>
        <w:t>5. Состав и содержание работ</w:t>
      </w:r>
    </w:p>
    <w:p>
      <w:r>
        <w:t>Этапы:</w:t>
      </w:r>
    </w:p>
    <w:p>
      <w:pPr>
        <w:pStyle w:val="ListNumber"/>
      </w:pPr>
      <w:r>
        <w:t>Обследование и фиксация текущего функционала.</w:t>
      </w:r>
    </w:p>
    <w:p>
      <w:pPr>
        <w:pStyle w:val="ListNumber"/>
      </w:pPr>
      <w:r>
        <w:t>Проектирование архитектуры и модели данных.</w:t>
      </w:r>
    </w:p>
    <w:p>
      <w:pPr>
        <w:pStyle w:val="ListNumber"/>
      </w:pPr>
      <w:r>
        <w:t>Разработка ядра и перенос функций.</w:t>
      </w:r>
    </w:p>
    <w:p>
      <w:pPr>
        <w:pStyle w:val="ListNumber"/>
      </w:pPr>
      <w:r>
        <w:t>Расширение по ролям и модулям.</w:t>
      </w:r>
    </w:p>
    <w:p>
      <w:pPr>
        <w:pStyle w:val="ListNumber"/>
      </w:pPr>
      <w:r>
        <w:t>Мобильные приложения.</w:t>
      </w:r>
    </w:p>
    <w:p>
      <w:pPr>
        <w:pStyle w:val="ListNumber"/>
      </w:pPr>
      <w:r>
        <w:t>Интеграции и отчётность.</w:t>
      </w:r>
    </w:p>
    <w:p>
      <w:pPr>
        <w:pStyle w:val="ListNumber"/>
      </w:pPr>
      <w:r>
        <w:t>Испытания, аттестация, пилот.</w:t>
      </w:r>
    </w:p>
    <w:p>
      <w:pPr>
        <w:pStyle w:val="ListNumber"/>
      </w:pPr>
      <w:r>
        <w:t>Ввод в эксплуатацию и сопровождение.</w:t>
      </w:r>
    </w:p>
    <w:p>
      <w:r>
        <w:t>Детализация — в ШК-08-02.</w:t>
      </w:r>
    </w:p>
    <w:p>
      <w:pPr>
        <w:pStyle w:val="Heading2"/>
      </w:pPr>
      <w:r>
        <w:t>6. Порядок контроля и приёмки</w:t>
      </w:r>
    </w:p>
    <w:p>
      <w:pPr>
        <w:pStyle w:val="ListNumber"/>
      </w:pPr>
      <w:r>
        <w:t>Внутренний контроль качества и код-ревью.</w:t>
      </w:r>
    </w:p>
    <w:p>
      <w:pPr>
        <w:pStyle w:val="ListNumber"/>
      </w:pPr>
      <w:r>
        <w:t>Автоматические тесты и регрессия.</w:t>
      </w:r>
    </w:p>
    <w:p>
      <w:pPr>
        <w:pStyle w:val="ListNumber"/>
      </w:pPr>
      <w:r>
        <w:t>Функциональные испытания.</w:t>
      </w:r>
    </w:p>
    <w:p>
      <w:pPr>
        <w:pStyle w:val="ListNumber"/>
      </w:pPr>
      <w:r>
        <w:t>Нагрузочные испытания.</w:t>
      </w:r>
    </w:p>
    <w:p>
      <w:pPr>
        <w:pStyle w:val="ListNumber"/>
      </w:pPr>
      <w:r>
        <w:t>Испытания на безопасность и пентест.</w:t>
      </w:r>
    </w:p>
    <w:p>
      <w:pPr>
        <w:pStyle w:val="ListNumber"/>
      </w:pPr>
      <w:r>
        <w:t>Опытная эксплуатация в пилотных школах.</w:t>
      </w:r>
    </w:p>
    <w:p>
      <w:pPr>
        <w:pStyle w:val="ListNumber"/>
      </w:pPr>
      <w:r>
        <w:t>Аттестация СЗИ (при необходимости).</w:t>
      </w:r>
    </w:p>
    <w:p>
      <w:pPr>
        <w:pStyle w:val="ListNumber"/>
      </w:pPr>
      <w:r>
        <w:t>Приёмочные испытания и подписание акта.</w:t>
      </w:r>
    </w:p>
    <w:p>
      <w:r>
        <w:t>Критерии приёмки:</w:t>
      </w:r>
    </w:p>
    <w:p>
      <w:pPr>
        <w:pStyle w:val="ListBullet"/>
      </w:pPr>
      <w:r>
        <w:t>все обязательные требования выполнены;</w:t>
      </w:r>
    </w:p>
    <w:p>
      <w:pPr>
        <w:pStyle w:val="ListBullet"/>
      </w:pPr>
      <w:r>
        <w:t>критические и высокие дефекты закрыты;</w:t>
      </w:r>
    </w:p>
    <w:p>
      <w:pPr>
        <w:pStyle w:val="ListBullet"/>
      </w:pPr>
      <w:r>
        <w:t>достигнуты целевые показатели производительности;</w:t>
      </w:r>
    </w:p>
    <w:p>
      <w:pPr>
        <w:pStyle w:val="ListBullet"/>
      </w:pPr>
      <w:r>
        <w:t>документация передана;</w:t>
      </w:r>
    </w:p>
    <w:p>
      <w:pPr>
        <w:pStyle w:val="ListBullet"/>
      </w:pPr>
      <w:r>
        <w:t>персонал обучен;</w:t>
      </w:r>
    </w:p>
    <w:p>
      <w:pPr>
        <w:pStyle w:val="ListBullet"/>
      </w:pPr>
      <w:r>
        <w:t>система защиты информации аттестована.</w:t>
      </w:r>
    </w:p>
    <w:p>
      <w:pPr>
        <w:pStyle w:val="Heading2"/>
      </w:pPr>
      <w:r>
        <w:t>7. Требования к составу и содержанию работ по подготовке объекта</w:t>
      </w:r>
    </w:p>
    <w:p>
      <w:pPr>
        <w:pStyle w:val="ListBullet"/>
      </w:pPr>
      <w:r>
        <w:t>Обследование школ и ИТ-инфраструктуры.</w:t>
      </w:r>
    </w:p>
    <w:p>
      <w:pPr>
        <w:pStyle w:val="ListBullet"/>
      </w:pPr>
      <w:r>
        <w:t>Определение ответственных за данные и доступ.</w:t>
      </w:r>
    </w:p>
    <w:p>
      <w:pPr>
        <w:pStyle w:val="ListBullet"/>
      </w:pPr>
      <w:r>
        <w:t>Обучение администраторов, учителей, секретарей.</w:t>
      </w:r>
    </w:p>
    <w:p>
      <w:pPr>
        <w:pStyle w:val="ListBullet"/>
      </w:pPr>
      <w:r>
        <w:t>Подготовка регламентов и приказов.</w:t>
      </w:r>
    </w:p>
    <w:p>
      <w:pPr>
        <w:pStyle w:val="ListBullet"/>
      </w:pPr>
      <w:r>
        <w:t>Миграция данных из старой системы.</w:t>
      </w:r>
    </w:p>
    <w:p>
      <w:pPr>
        <w:pStyle w:val="ListBullet"/>
      </w:pPr>
      <w:r>
        <w:t>Проверка юридических согласий.</w:t>
      </w:r>
    </w:p>
    <w:p>
      <w:pPr>
        <w:pStyle w:val="Heading2"/>
      </w:pPr>
      <w:r>
        <w:t>8. Источники разработки</w:t>
      </w:r>
    </w:p>
    <w:p>
      <w:pPr>
        <w:pStyle w:val="ListBullet"/>
      </w:pPr>
      <w:r>
        <w:t>Концепция ШК-01-01.</w:t>
      </w:r>
    </w:p>
    <w:p>
      <w:pPr>
        <w:pStyle w:val="ListBullet"/>
      </w:pPr>
      <w:r>
        <w:t>Функциональные требования ШК-02-02.</w:t>
      </w:r>
    </w:p>
    <w:p>
      <w:pPr>
        <w:pStyle w:val="ListBullet"/>
      </w:pPr>
      <w:r>
        <w:t>Архитектура ШК-03-01.</w:t>
      </w:r>
    </w:p>
    <w:p>
      <w:pPr>
        <w:pStyle w:val="ListBullet"/>
      </w:pPr>
      <w:r>
        <w:t>Модель данных ШК-04-01.</w:t>
      </w:r>
    </w:p>
    <w:p>
      <w:pPr>
        <w:pStyle w:val="ListBullet"/>
      </w:pPr>
      <w:r>
        <w:t>Нормативные документы ШК-09-01.</w:t>
      </w:r>
    </w:p>
    <w:p>
      <w:pPr>
        <w:pStyle w:val="ListBullet"/>
      </w:pPr>
      <w:r>
        <w:t>Действующая система на Flask/SQLite (как источник функционала).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Приложение А. Матрица соответствия — ШК-02-04.</w:t>
      </w:r>
    </w:p>
    <w:p>
      <w:pPr>
        <w:pStyle w:val="ListBullet"/>
      </w:pPr>
      <w:r>
        <w:t>Приложение Б. Карта миграции — ШК-02-05.</w:t>
      </w:r>
    </w:p>
    <w:p>
      <w:pPr>
        <w:pStyle w:val="ListBullet"/>
      </w:pPr>
      <w:r>
        <w:t>Приложение В. Глоссарий — ниже.</w:t>
      </w:r>
    </w:p>
    <w:p>
      <w:pPr>
        <w:pStyle w:val="Heading2"/>
      </w:pPr>
      <w:r>
        <w:t>10.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Определение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Единая общеобразовательная обучающая платформа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ЭЖ/ЭД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 / электронный дневник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ЦТ/ЦЭ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Централизованное тестирование / централизованный экзамен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РИОС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информационно-образовательная среда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ОАЦ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Оперативно-аналитический центр при Президенте Республики Беларусь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ПДн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Персональные данные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Role-Based Access Control, ролевое разграничение доступа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SPA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Single Page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PWA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Progressive Web Application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LWW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Last-Write-Wins, стратегия разрешения конфликтов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