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Развёртывание и эксплуатация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Тип: </w:t>
      </w:r>
      <w:r>
        <w:rPr>
          <w:b/>
        </w:rPr>
        <w:t>User program</w:t>
      </w:r>
      <w:r>
        <w:t xml:space="preserve"> (ASGI/Uvicorn) для FastAPI.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Домен: новый поддомен,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>Отдельная БД и отдельный пользователь.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