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Журнал рисков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0.7.3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docs\10-reporting\03-zhurnal-riskov.md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Журнал рисков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Правила</w:t>
      </w:r>
    </w:p>
    <w:p>
      <w:pPr>
        <w:pStyle w:val="ListBullet"/>
      </w:pPr>
      <w:r>
        <w:t>Риск оценивается по вероятности (1–5) и влиянию (1–5).</w:t>
      </w:r>
    </w:p>
    <w:p>
      <w:pPr>
        <w:pStyle w:val="ListBullet"/>
      </w:pPr>
      <w:r>
        <w:t>Приоритет = вероятность × влияние.</w:t>
      </w:r>
    </w:p>
    <w:p>
      <w:pPr>
        <w:pStyle w:val="ListBullet"/>
      </w:pPr>
      <w:r>
        <w:t>Владелец риска назначается всегда.</w:t>
      </w:r>
    </w:p>
    <w:p>
      <w:pPr>
        <w:pStyle w:val="ListBullet"/>
      </w:pPr>
      <w:r>
        <w:t>Пересмотр — не реже раза в две недели и перед вехами.</w:t>
      </w:r>
    </w:p>
    <w:p>
      <w:pPr>
        <w:pStyle w:val="Heading2"/>
      </w:pPr>
      <w:r>
        <w:t>Реестр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7"/>
        <w:gridCol w:w="1247"/>
        <w:gridCol w:w="1247"/>
        <w:gridCol w:w="1247"/>
        <w:gridCol w:w="1247"/>
        <w:gridCol w:w="1247"/>
        <w:gridCol w:w="1247"/>
        <w:gridCol w:w="1247"/>
      </w:tblGrid>
      <w:tr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Риск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Вероятность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Влияние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Меры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Владелец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Затягивание миграции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Поэтапность, паритет-тесты, буфер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Несоответствие требованиям ПДн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Юрист, ИБ, согласия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Задержка аттестации СЗИ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Ранний старт, подрядчик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Сбой внешнего AI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Резервный провайдер, деградация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Слабая инфраструктура школ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Офлайн, PWA, оптимизация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Нехватка качественного контента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Методисты, закупка, AI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Методист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R-07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Сопротивление педагогов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Обучение, пилот, поддержка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R-08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 ПДн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ИБ, аудит, минимизация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R-09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Перегрузка команды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Реалистичный план, найм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R-10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Зависимость от одного подрядчика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Документация, передача знаний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</w:tbl>
    <w:p/>
    <w:p>
      <w:pPr>
        <w:pStyle w:val="Heading2"/>
      </w:pPr>
      <w:r>
        <w:t>Журнал изменений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Дата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Изменение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Автор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R-01…R-10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 реестр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0.7.3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