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Стратегия тестирования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docs\06-testing\01-strategiya-testirovaniya.md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p>
      <w:pPr>
        <w:pStyle w:val="Heading2"/>
      </w:pPr>
      <w:r>
        <w:t>Проверки веб-клиента</w:t>
      </w:r>
    </w:p>
    <w:p>
      <w:pPr>
        <w:pStyle w:val="ListBullet"/>
      </w:pPr>
      <w:r>
        <w:rPr>
          <w:rFonts w:ascii="Consolas" w:hAnsi="Consolas"/>
          <w:sz w:val="18"/>
        </w:rPr>
        <w:t>npm run typecheck</w:t>
      </w:r>
      <w:r>
        <w:t xml:space="preserve"> — обязательная проверка TypeScript strict.</w:t>
      </w:r>
    </w:p>
    <w:p>
      <w:pPr>
        <w:pStyle w:val="ListBullet"/>
      </w:pPr>
      <w:r>
        <w:rPr>
          <w:rFonts w:ascii="Consolas" w:hAnsi="Consolas"/>
          <w:sz w:val="18"/>
        </w:rPr>
        <w:t>npm run build</w:t>
      </w:r>
      <w:r>
        <w:t xml:space="preserve"> — проверка production-сборки Vite и Tailwind.</w:t>
      </w:r>
    </w:p>
    <w:p>
      <w:pPr>
        <w:pStyle w:val="ListBullet"/>
      </w:pPr>
      <w:r>
        <w:t>Ручные сценарии: вход, дашборд, группы, карточка группы, сервисы,</w:t>
      </w:r>
    </w:p>
    <w:p>
      <w:r>
        <w:t>переключение активации, профиль, мобильное меню.</w:t>
      </w:r>
    </w:p>
    <w:p>
      <w:pPr>
        <w:pStyle w:val="ListBullet"/>
      </w:pPr>
      <w:r>
        <w:t xml:space="preserve">Для пилота проверяется раздача </w:t>
      </w:r>
      <w:r>
        <w:rPr>
          <w:rFonts w:ascii="Consolas" w:hAnsi="Consolas"/>
          <w:sz w:val="18"/>
        </w:rPr>
        <w:t>frontend/dist</w:t>
      </w:r>
      <w:r>
        <w:t xml:space="preserve"> через FastAPI.</w:t>
      </w:r>
    </w:p>
    <w:p>
      <w:pPr>
        <w:pStyle w:val="ListBullet"/>
      </w:pPr>
      <w:r>
        <w:t>Автоматизированные E2E-тесты (Playwright) — следующий шаг.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