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947"/>
        <w:tblBorders>
          <w:top w:color="000001" w:space="0" w:sz="4" w:val="single"/>
          <w:left w:color="000001" w:space="0" w:sz="4" w:val="single"/>
          <w:bottom w:color="000001" w:space="0" w:sz="4" w:val="single"/>
        </w:tblBorders>
      </w:tblPr>
      <w:tblGrid>
        <w:gridCol w:w="7070"/>
        <w:gridCol w:w="3238"/>
      </w:tblGrid>
      <w:tr>
        <w:trPr>
          <w:trHeight w:hRule="atLeast" w:val="541"/>
          <w:cantSplit w:val="false"/>
        </w:trPr>
        <w:tc>
          <w:tcPr>
            <w:tcW w:type="dxa" w:w="7070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</w:pPr>
            <w:bookmarkStart w:id="0" w:name="_GoBack"/>
            <w:bookmarkEnd w:id="0"/>
            <w:r>
              <w:rPr>
                <w:b/>
                <w:i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</w:pPr>
            <w:r>
              <w:rPr>
                <w:b/>
                <w:sz w:val="16"/>
                <w:szCs w:val="16"/>
              </w:rPr>
              <w:t>"ВКЛАДОВ"</w:t>
            </w:r>
          </w:p>
        </w:tc>
        <w:tc>
          <w:tcPr>
            <w:tcW w:type="dxa" w:w="3238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left"/>
            </w:pPr>
            <w:r>
              <w:rPr>
                <w:b/>
                <w:color w:val="000000"/>
                <w:sz w:val="16"/>
                <w:szCs w:val="16"/>
              </w:rPr>
              <w:t>Серия  {{t1}}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left"/>
            </w:pPr>
            <w:r>
              <w:rPr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</w:rPr>
              <w:t xml:space="preserve">{{t2}}    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</w:pPr>
            <w:r>
              <w:rPr>
                <w:b/>
                <w:color w:val="FF0000"/>
                <w:sz w:val="16"/>
                <w:szCs w:val="16"/>
              </w:rPr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5332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both"/>
            </w:pPr>
            <w:r>
              <w:rPr>
                <w:color w:val="000000"/>
                <w:sz w:val="16"/>
                <w:szCs w:val="16"/>
              </w:rPr>
              <w:t xml:space="preserve">Настоящий Страховой Полис выдан </w:t>
            </w:r>
            <w:r>
              <w:rPr>
                <w:sz w:val="16"/>
                <w:szCs w:val="16"/>
              </w:rPr>
              <w:t xml:space="preserve"> Санкт-Петербургское агентство в г. Санкт-Петербурге Общество с ограниченной ответственностью </w:t>
            </w:r>
            <w:r>
              <w:rPr>
                <w:color w:val="000000"/>
                <w:sz w:val="16"/>
                <w:szCs w:val="16"/>
              </w:rPr>
              <w:t xml:space="preserve"> «СК «ЭСТЕР», на основании Заявления на страхование от 00.09.2013г. и удостоверяет факт заключения Полиса страхования инвестиций, на условиях, </w:t>
            </w:r>
            <w:r>
              <w:rPr>
                <w:sz w:val="16"/>
                <w:szCs w:val="16"/>
              </w:rPr>
              <w:t>изложенных в Правилах  страхования инвестиций  в редакции от 00.09.13г.  (далее Правила),  Данный</w:t>
            </w:r>
            <w:r>
              <w:rPr>
                <w:color w:val="000000"/>
                <w:sz w:val="16"/>
                <w:szCs w:val="16"/>
              </w:rPr>
              <w:t xml:space="preserve">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Страховщик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sz w:val="16"/>
                <w:szCs w:val="16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</w:pPr>
            <w:r>
              <w:rPr>
                <w:sz w:val="16"/>
                <w:szCs w:val="16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Вид страхования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jc w:val="both"/>
            </w:pPr>
            <w:r>
              <w:rPr>
                <w:sz w:val="16"/>
                <w:szCs w:val="16"/>
              </w:rPr>
              <w:t>Страхование инвестиций.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Страхователь ( Выгодоприобретатель)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4"/>
            </w:pPr>
            <w:r>
              <w:rPr>
                <w:rFonts w:ascii="Times New Roman" w:cs="Times New Roman" w:hAnsi="Times New Roman"/>
                <w:bCs/>
                <w:sz w:val="16"/>
                <w:szCs w:val="16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Адрес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</w:pPr>
            <w:r>
              <w:rPr>
                <w:color w:val="000000"/>
                <w:sz w:val="16"/>
                <w:szCs w:val="16"/>
              </w:rPr>
              <w:t>{{t6}}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Объект  страхования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6"/>
              <w:spacing w:after="120" w:before="0"/>
              <w:ind w:hanging="0" w:left="0" w:right="0"/>
            </w:pPr>
            <w:r>
              <w:rPr>
                <w:sz w:val="16"/>
                <w:szCs w:val="16"/>
              </w:rPr>
              <w:t>Объектом страхования являются не противоречащие законодательству Российской Федерации имущественные интересы Страхователя, связанные с риском убытков (потеря дохода, повреждение или уничтожение имущества, потеря вложенных ценностей или их части, несение расхо</w:t>
              <w:t>дов), возникших при осуществлении инвестиционной деятельности.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Страховой случай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sz w:val="16"/>
                <w:szCs w:val="16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jc w:val="both"/>
            </w:pPr>
            <w:r>
              <w:rPr>
                <w:sz w:val="16"/>
                <w:szCs w:val="16"/>
              </w:rPr>
              <w:t>с «{{t7}}» {{t8}} {{t9}}г., но не ранее ноля часов дня, следующего за днём уплаты Страхователем страховой премии, по «{{t010}}» {{t011}} {{t012}}г.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Страховая сумма, руб.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</w:pPr>
            <w:r>
              <w:rPr>
                <w:sz w:val="16"/>
                <w:szCs w:val="16"/>
              </w:rPr>
              <w:t>{{t013}} {{t014}}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Страховая премия</w:t>
            </w:r>
            <w:r>
              <w:rPr>
                <w:b/>
                <w:sz w:val="16"/>
                <w:szCs w:val="16"/>
                <w:lang w:val="en-US"/>
              </w:rPr>
              <w:t>,</w:t>
            </w:r>
            <w:r>
              <w:rPr>
                <w:b/>
                <w:sz w:val="16"/>
                <w:szCs w:val="16"/>
              </w:rPr>
              <w:t xml:space="preserve"> руб.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</w:pPr>
            <w:r>
              <w:rPr>
                <w:sz w:val="16"/>
                <w:szCs w:val="16"/>
              </w:rPr>
              <w:t>{{t015}} {{t016}}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Условия платежа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</w:pPr>
            <w:r>
              <w:rPr>
                <w:bCs/>
                <w:color w:val="000000"/>
                <w:sz w:val="16"/>
                <w:szCs w:val="16"/>
              </w:rPr>
              <w:t>Единовременно, наличным платежом</w:t>
            </w:r>
            <w:r>
              <w:rPr>
                <w:bCs/>
                <w:sz w:val="16"/>
                <w:szCs w:val="16"/>
              </w:rPr>
              <w:t xml:space="preserve"> при </w:t>
            </w:r>
            <w:r>
              <w:rPr>
                <w:sz w:val="16"/>
                <w:szCs w:val="16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Особые условия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</w:pPr>
            <w:r>
              <w:rPr>
                <w:bCs/>
                <w:color w:val="000000"/>
                <w:sz w:val="16"/>
                <w:szCs w:val="16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4079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CC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</w:pPr>
            <w:r>
              <w:rPr>
                <w:b/>
                <w:sz w:val="16"/>
                <w:szCs w:val="16"/>
              </w:rPr>
              <w:t>Приложения</w:t>
            </w:r>
          </w:p>
        </w:tc>
        <w:tc>
          <w:tcPr>
            <w:tcW w:type="dxa" w:w="6229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</w:pPr>
            <w:r>
              <w:rPr>
                <w:color w:val="000000"/>
                <w:sz w:val="16"/>
                <w:szCs w:val="16"/>
              </w:rPr>
              <w:t xml:space="preserve">1.Правила страхования инвестиций в редакции от </w:t>
            </w:r>
            <w:r>
              <w:rPr>
                <w:sz w:val="16"/>
                <w:szCs w:val="16"/>
              </w:rPr>
              <w:t>00.00.2013г.</w:t>
            </w:r>
            <w:r>
              <w:rPr>
                <w:color w:val="000000"/>
                <w:sz w:val="16"/>
                <w:szCs w:val="16"/>
              </w:rPr>
              <w:t xml:space="preserve">  </w:t>
            </w:r>
          </w:p>
          <w:p>
            <w:pPr>
              <w:pStyle w:val="style0"/>
              <w:jc w:val="both"/>
            </w:pPr>
            <w:r>
              <w:rPr>
                <w:sz w:val="16"/>
                <w:szCs w:val="16"/>
              </w:rPr>
              <w:t>2.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Заявление на страхование от 00.00.2013г. </w:t>
            </w:r>
          </w:p>
          <w:p>
            <w:pPr>
              <w:pStyle w:val="style0"/>
              <w:jc w:val="both"/>
            </w:pPr>
            <w:r>
              <w:rPr>
                <w:sz w:val="16"/>
                <w:szCs w:val="16"/>
              </w:rPr>
              <w:t>3.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Полис страхования  Серия </w:t>
            </w:r>
            <w:r>
              <w:rPr>
                <w:color w:val="000000"/>
                <w:sz w:val="16"/>
                <w:szCs w:val="16"/>
              </w:rPr>
              <w:t>№  от 26.07.2013г.</w:t>
            </w:r>
          </w:p>
          <w:p>
            <w:pPr>
              <w:pStyle w:val="style0"/>
              <w:jc w:val="both"/>
            </w:pPr>
            <w:r>
              <w:rPr>
                <w:color w:val="000000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 Лицензия С № от 27.01.2011г.</w:t>
            </w:r>
          </w:p>
        </w:tc>
      </w:tr>
      <w:tr>
        <w:trPr>
          <w:trHeight w:hRule="atLeast" w:val="336"/>
          <w:cantSplit w:val="false"/>
        </w:trPr>
        <w:tc>
          <w:tcPr>
            <w:tcW w:type="dxa" w:w="5974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b/>
                <w:sz w:val="16"/>
                <w:szCs w:val="16"/>
                <w:u w:val="single"/>
              </w:rPr>
              <w:t>СТРАХОВЩИК: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 xml:space="preserve">            </w:t>
            </w:r>
          </w:p>
          <w:p>
            <w:pPr>
              <w:pStyle w:val="style0"/>
            </w:pPr>
            <w:r>
              <w:rPr>
                <w:b/>
                <w:bCs/>
                <w:sz w:val="16"/>
                <w:szCs w:val="16"/>
              </w:rPr>
              <w:t>Место нахождения:</w:t>
            </w:r>
            <w:r>
              <w:rPr>
                <w:sz w:val="16"/>
                <w:szCs w:val="16"/>
              </w:rPr>
              <w:t xml:space="preserve"> 456910,Россия, 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Челябинская область, г. Сатка, ул. Пролетарская, д. 30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ИНН 7404005342,КПП 772643001,ОГРН 1027401065449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>Филиал в г. Москве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Адрес: 115230 г.Москва, Варшавское шоссе,д.46, офис 611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>Санкт-Петербургское агентство в г. Санкт-Петербурге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 xml:space="preserve">Фактический адрес:192019, г. Санкт-Петербург, 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</w:pPr>
            <w:r>
              <w:rPr>
                <w:color w:val="000000"/>
                <w:sz w:val="16"/>
                <w:szCs w:val="16"/>
              </w:rPr>
              <w:t xml:space="preserve">Тел/факс:  </w:t>
            </w:r>
            <w:r>
              <w:rPr>
                <w:sz w:val="16"/>
                <w:szCs w:val="16"/>
              </w:rPr>
              <w:t>(812) 643-33-23</w:t>
            </w:r>
          </w:p>
          <w:p>
            <w:pPr>
              <w:pStyle w:val="style0"/>
            </w:pPr>
            <w:r>
              <w:rPr>
                <w:b/>
                <w:bCs/>
                <w:sz w:val="16"/>
                <w:szCs w:val="16"/>
              </w:rPr>
              <w:t>Получатель: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Cs/>
                <w:iCs/>
                <w:sz w:val="16"/>
                <w:szCs w:val="16"/>
              </w:rPr>
              <w:t>Р/СЧ: 40702810700040002180 в СПБ филиал</w:t>
            </w:r>
          </w:p>
          <w:p>
            <w:pPr>
              <w:pStyle w:val="style0"/>
            </w:pPr>
            <w:r>
              <w:rPr>
                <w:bCs/>
                <w:iCs/>
                <w:sz w:val="16"/>
                <w:szCs w:val="16"/>
              </w:rPr>
              <w:t>АКБ «Ланта-Банк» (ЗАО)</w:t>
            </w:r>
          </w:p>
          <w:p>
            <w:pPr>
              <w:pStyle w:val="style0"/>
            </w:pPr>
            <w:r>
              <w:rPr>
                <w:bCs/>
                <w:iCs/>
                <w:sz w:val="16"/>
                <w:szCs w:val="16"/>
              </w:rPr>
              <w:t>К/СЧ: 30101810900000000761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БИК: 044030761</w:t>
            </w:r>
          </w:p>
          <w:p>
            <w:pPr>
              <w:pStyle w:val="style0"/>
              <w:widowControl w:val="false"/>
              <w:jc w:val="both"/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widowControl w:val="false"/>
              <w:jc w:val="both"/>
            </w:pPr>
            <w:r>
              <w:rPr>
                <w:b/>
                <w:bCs/>
                <w:sz w:val="16"/>
                <w:szCs w:val="16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style23"/>
              <w:jc w:val="left"/>
            </w:pPr>
            <w:r>
              <w:rPr>
                <w:sz w:val="16"/>
                <w:szCs w:val="16"/>
              </w:rPr>
              <w:t>_______________________/</w:t>
            </w:r>
            <w:r>
              <w:rPr>
                <w:b/>
                <w:sz w:val="16"/>
                <w:szCs w:val="16"/>
              </w:rPr>
              <w:t>____________</w:t>
            </w:r>
            <w:r>
              <w:rPr>
                <w:sz w:val="16"/>
                <w:szCs w:val="16"/>
              </w:rPr>
              <w:t>/</w:t>
            </w:r>
          </w:p>
          <w:p>
            <w:pPr>
              <w:pStyle w:val="style0"/>
            </w:pPr>
            <w:r>
              <w:rPr>
                <w:bCs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м.п.</w:t>
            </w:r>
            <w:r>
              <w:rPr>
                <w:bCs/>
                <w:sz w:val="16"/>
                <w:szCs w:val="16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type="dxa" w:w="4334"/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4"/>
            </w:pPr>
            <w:r>
              <w:rPr>
                <w:rFonts w:ascii="Times New Roman" w:cs="Times New Roman" w:hAnsi="Times New Roman"/>
                <w:b/>
                <w:sz w:val="16"/>
                <w:szCs w:val="16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6"/>
                <w:szCs w:val="16"/>
              </w:rPr>
              <w:t xml:space="preserve"> </w:t>
            </w:r>
          </w:p>
          <w:p>
            <w:pPr>
              <w:pStyle w:val="style3"/>
              <w:spacing w:after="0" w:before="0"/>
              <w:ind w:hanging="720" w:left="720" w:right="0"/>
              <w:jc w:val="both"/>
            </w:pPr>
            <w:r>
              <w:rPr>
                <w:rFonts w:ascii="Times New Roman" w:cs="Times New Roman" w:hAnsi="Times New Roman"/>
                <w:color w:val="000000"/>
                <w:sz w:val="16"/>
                <w:szCs w:val="16"/>
              </w:rPr>
              <w:t>{{t3}} {{t4}} {{t5}}</w:t>
            </w:r>
          </w:p>
          <w:p>
            <w:pPr>
              <w:pStyle w:val="style23"/>
              <w:spacing w:after="0" w:before="0"/>
              <w:ind w:hanging="720" w:left="720" w:right="0"/>
              <w:jc w:val="both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bCs/>
                <w:sz w:val="16"/>
                <w:szCs w:val="16"/>
              </w:rPr>
              <w:t>Паспорт: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</w:pPr>
            <w:r>
              <w:rPr>
                <w:sz w:val="16"/>
                <w:szCs w:val="16"/>
              </w:rPr>
              <w:t>с</w:t>
            </w:r>
            <w:bookmarkStart w:id="1" w:name="_GoBack1"/>
            <w:bookmarkEnd w:id="1"/>
            <w:r>
              <w:rPr>
                <w:sz w:val="16"/>
                <w:szCs w:val="16"/>
              </w:rPr>
              <w:t xml:space="preserve">ерия {{t017}} номер {{t018}} </w:t>
            </w:r>
          </w:p>
          <w:p>
            <w:pPr>
              <w:pStyle w:val="style0"/>
            </w:pPr>
            <w:r>
              <w:rPr>
                <w:b/>
                <w:bCs/>
                <w:sz w:val="16"/>
                <w:szCs w:val="16"/>
              </w:rPr>
              <w:t>Выдан:</w:t>
            </w:r>
            <w:r>
              <w:rPr>
                <w:sz w:val="16"/>
                <w:szCs w:val="16"/>
              </w:rPr>
              <w:t xml:space="preserve"> </w:t>
            </w:r>
          </w:p>
          <w:p>
            <w:pPr>
              <w:pStyle w:val="style0"/>
            </w:pPr>
            <w:r>
              <w:rPr>
                <w:sz w:val="16"/>
                <w:szCs w:val="16"/>
                <w:lang w:val="en-US"/>
              </w:rPr>
              <w:t xml:space="preserve">{{t019}} 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>Прописан</w:t>
            </w:r>
            <w:r>
              <w:rPr>
                <w:b/>
                <w:sz w:val="16"/>
                <w:szCs w:val="16"/>
                <w:lang w:val="en-US"/>
              </w:rPr>
              <w:t>:</w:t>
            </w:r>
          </w:p>
          <w:p>
            <w:pPr>
              <w:pStyle w:val="style0"/>
            </w:pPr>
            <w:r>
              <w:rPr>
                <w:sz w:val="16"/>
                <w:szCs w:val="16"/>
                <w:lang w:val="en-US"/>
              </w:rPr>
              <w:t>{{t6}}</w:t>
            </w:r>
          </w:p>
          <w:p>
            <w:pPr>
              <w:pStyle w:val="style0"/>
            </w:pPr>
            <w:r>
              <w:rPr>
                <w:b/>
                <w:sz w:val="16"/>
                <w:szCs w:val="16"/>
              </w:rPr>
              <w:t>Дата рождения</w:t>
            </w:r>
            <w:r>
              <w:rPr>
                <w:sz w:val="16"/>
                <w:szCs w:val="16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</w:pPr>
            <w:r>
              <w:rPr>
                <w:sz w:val="16"/>
                <w:szCs w:val="16"/>
              </w:rPr>
              <w:t>{{t020}}</w:t>
            </w:r>
          </w:p>
          <w:p>
            <w:pPr>
              <w:pStyle w:val="style0"/>
            </w:pPr>
            <w:r>
              <w:rPr>
                <w:b/>
                <w:bCs/>
                <w:sz w:val="16"/>
                <w:szCs w:val="16"/>
              </w:rPr>
              <w:t>Телефон:</w:t>
            </w:r>
            <w:r>
              <w:rPr>
                <w:b/>
                <w:sz w:val="16"/>
                <w:szCs w:val="16"/>
              </w:rPr>
              <w:t xml:space="preserve"> </w:t>
            </w:r>
          </w:p>
          <w:p>
            <w:pPr>
              <w:pStyle w:val="style0"/>
            </w:pPr>
            <w:r>
              <w:rPr>
                <w:bCs/>
                <w:iCs/>
                <w:sz w:val="16"/>
                <w:szCs w:val="16"/>
                <w:lang w:val="en-US"/>
              </w:rPr>
              <w:t>{{t021}}</w:t>
            </w:r>
          </w:p>
          <w:p>
            <w:pPr>
              <w:pStyle w:val="style37"/>
              <w:widowControl w:val="false"/>
              <w:spacing w:after="0" w:before="0"/>
              <w:ind w:hanging="720" w:left="720" w:right="0"/>
              <w:jc w:val="both"/>
            </w:pPr>
            <w:r>
              <w:rPr>
                <w:b/>
                <w:sz w:val="16"/>
                <w:szCs w:val="16"/>
              </w:rPr>
            </w:r>
          </w:p>
          <w:p>
            <w:pPr>
              <w:pStyle w:val="style0"/>
              <w:jc w:val="both"/>
            </w:pPr>
            <w:r>
              <w:rPr>
                <w:b/>
                <w:bCs/>
                <w:sz w:val="16"/>
                <w:szCs w:val="16"/>
              </w:rPr>
              <w:t>От имени Страхователя</w:t>
            </w:r>
          </w:p>
          <w:p>
            <w:pPr>
              <w:pStyle w:val="style0"/>
              <w:jc w:val="both"/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style23"/>
            </w:pPr>
            <w:r>
              <w:rPr>
                <w:b/>
                <w:sz w:val="16"/>
                <w:szCs w:val="16"/>
              </w:rPr>
              <w:t>____________________________/ _______________</w:t>
            </w:r>
            <w:r>
              <w:rPr>
                <w:b/>
                <w:bCs/>
                <w:sz w:val="16"/>
                <w:szCs w:val="16"/>
              </w:rPr>
              <w:t>/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</w:pPr>
            <w:r>
              <w:rPr>
                <w:bCs/>
                <w:sz w:val="16"/>
                <w:szCs w:val="16"/>
              </w:rPr>
              <w:t xml:space="preserve">    </w:t>
            </w:r>
            <w:r>
              <w:rPr>
                <w:bCs/>
                <w:sz w:val="16"/>
                <w:szCs w:val="16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701" w:right="850" w:top="899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Arial" w:hAnsi="Times New Roman"/>
      <w:color w:val="auto"/>
      <w:sz w:val="20"/>
      <w:szCs w:val="20"/>
      <w:lang w:bidi="ar-SA" w:eastAsia="ar-SA" w:val="ru-RU"/>
    </w:rPr>
  </w:style>
  <w:style w:styleId="style2" w:type="paragraph">
    <w:name w:val="Heading 2"/>
    <w:basedOn w:val="style0"/>
    <w:next w:val="style23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23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style7" w:type="paragraph">
    <w:name w:val="Heading 7"/>
    <w:basedOn w:val="style0"/>
    <w:next w:val="style23"/>
    <w:pPr>
      <w:numPr>
        <w:ilvl w:val="6"/>
        <w:numId w:val="1"/>
      </w:numPr>
      <w:spacing w:after="60" w:before="240"/>
      <w:outlineLvl w:val="6"/>
    </w:pPr>
    <w:rPr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Absatz-Standardschriftart"/>
    <w:next w:val="style16"/>
    <w:rPr/>
  </w:style>
  <w:style w:styleId="style17" w:type="character">
    <w:name w:val="WW8Num2z1"/>
    <w:next w:val="style17"/>
    <w:rPr>
      <w:b w:val="false"/>
    </w:rPr>
  </w:style>
  <w:style w:styleId="style18" w:type="character">
    <w:name w:val="Основной шрифт абзаца1"/>
    <w:next w:val="style18"/>
    <w:rPr/>
  </w:style>
  <w:style w:styleId="style19" w:type="character">
    <w:name w:val="Символ сноски"/>
    <w:basedOn w:val="style18"/>
    <w:next w:val="style19"/>
    <w:rPr>
      <w:vertAlign w:val="superscript"/>
    </w:rPr>
  </w:style>
  <w:style w:styleId="style20" w:type="character">
    <w:name w:val="Отступ основного текста Знак"/>
    <w:basedOn w:val="style15"/>
    <w:next w:val="style20"/>
    <w:rPr>
      <w:lang w:eastAsia="ar-SA"/>
    </w:rPr>
  </w:style>
  <w:style w:styleId="style21" w:type="character">
    <w:name w:val="ListLabel 1"/>
    <w:next w:val="style21"/>
    <w:rPr>
      <w:rFonts w:cs="Courier New"/>
    </w:rPr>
  </w:style>
  <w:style w:styleId="style22" w:type="paragraph">
    <w:name w:val="Heading"/>
    <w:basedOn w:val="style0"/>
    <w:next w:val="style23"/>
    <w:pPr>
      <w:keepNext/>
      <w:spacing w:after="120" w:before="240"/>
    </w:pPr>
    <w:rPr>
      <w:rFonts w:ascii="Liberation Sans" w:cs="DejaVu Sans" w:eastAsia="Droid Sans" w:hAnsi="Liberation Sans"/>
      <w:sz w:val="28"/>
      <w:szCs w:val="28"/>
    </w:rPr>
  </w:style>
  <w:style w:styleId="style23" w:type="paragraph">
    <w:name w:val="Text body"/>
    <w:basedOn w:val="style0"/>
    <w:next w:val="style23"/>
    <w:pPr>
      <w:jc w:val="both"/>
    </w:pPr>
    <w:rPr>
      <w:sz w:val="24"/>
    </w:rPr>
  </w:style>
  <w:style w:styleId="style24" w:type="paragraph">
    <w:name w:val="List"/>
    <w:basedOn w:val="style23"/>
    <w:next w:val="style24"/>
    <w:pPr/>
    <w:rPr>
      <w:rFonts w:ascii="Arial" w:cs="Mangal" w:hAnsi="Arial"/>
    </w:rPr>
  </w:style>
  <w:style w:styleId="style25" w:type="paragraph">
    <w:name w:val="Caption"/>
    <w:basedOn w:val="style0"/>
    <w:next w:val="style25"/>
    <w:pPr>
      <w:suppressLineNumbers/>
      <w:spacing w:after="120" w:before="120"/>
    </w:pPr>
    <w:rPr>
      <w:rFonts w:cs="DejaVu Sans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DejaVu Sans"/>
    </w:rPr>
  </w:style>
  <w:style w:styleId="style27" w:type="paragraph">
    <w:name w:val="Заголовок"/>
    <w:basedOn w:val="style0"/>
    <w:next w:val="style27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28" w:type="paragraph">
    <w:name w:val="Название1"/>
    <w:basedOn w:val="style0"/>
    <w:next w:val="style28"/>
    <w:pPr>
      <w:suppressLineNumbers/>
      <w:spacing w:after="120" w:before="120"/>
    </w:pPr>
    <w:rPr>
      <w:rFonts w:ascii="Arial" w:cs="Mangal" w:hAnsi="Arial"/>
      <w:i/>
      <w:iCs/>
      <w:szCs w:val="24"/>
    </w:rPr>
  </w:style>
  <w:style w:styleId="style29" w:type="paragraph">
    <w:name w:val="Указатель1"/>
    <w:basedOn w:val="style0"/>
    <w:next w:val="style29"/>
    <w:pPr>
      <w:suppressLineNumbers/>
    </w:pPr>
    <w:rPr>
      <w:rFonts w:ascii="Arial" w:cs="Mangal" w:hAnsi="Arial"/>
    </w:rPr>
  </w:style>
  <w:style w:styleId="style30" w:type="paragraph">
    <w:name w:val="footnote text"/>
    <w:basedOn w:val="style0"/>
    <w:next w:val="style30"/>
    <w:pPr/>
    <w:rPr/>
  </w:style>
  <w:style w:styleId="style31" w:type="paragraph">
    <w:name w:val="ConsPlusTitle"/>
    <w:next w:val="style31"/>
    <w:pPr>
      <w:widowControl w:val="false"/>
      <w:tabs>
        <w:tab w:leader="none" w:pos="708" w:val="left"/>
      </w:tabs>
      <w:suppressAutoHyphens w:val="true"/>
    </w:pPr>
    <w:rPr>
      <w:rFonts w:ascii="Times New Roman" w:cs="Times New Roman" w:eastAsia="Arial" w:hAnsi="Times New Roman"/>
      <w:b/>
      <w:bCs/>
      <w:color w:val="auto"/>
      <w:sz w:val="24"/>
      <w:szCs w:val="24"/>
      <w:lang w:bidi="ar-SA" w:eastAsia="ar-SA" w:val="ru-RU"/>
    </w:rPr>
  </w:style>
  <w:style w:styleId="style32" w:type="paragraph">
    <w:name w:val=" Знак"/>
    <w:basedOn w:val="style0"/>
    <w:next w:val="style32"/>
    <w:pPr>
      <w:widowControl w:val="false"/>
      <w:suppressAutoHyphens w:val="false"/>
      <w:spacing w:after="160" w:before="0" w:line="240" w:lineRule="exact"/>
      <w:jc w:val="right"/>
    </w:pPr>
    <w:rPr>
      <w:lang w:val="en-GB"/>
    </w:rPr>
  </w:style>
  <w:style w:styleId="style33" w:type="paragraph">
    <w:name w:val="Содержимое таблицы"/>
    <w:basedOn w:val="style0"/>
    <w:next w:val="style33"/>
    <w:pPr>
      <w:suppressLineNumbers/>
    </w:pPr>
    <w:rPr/>
  </w:style>
  <w:style w:styleId="style34" w:type="paragraph">
    <w:name w:val="Заголовок таблицы"/>
    <w:basedOn w:val="style33"/>
    <w:next w:val="style34"/>
    <w:pPr>
      <w:jc w:val="center"/>
    </w:pPr>
    <w:rPr>
      <w:b/>
      <w:bCs/>
    </w:rPr>
  </w:style>
  <w:style w:styleId="style35" w:type="paragraph">
    <w:name w:val=" Знак4 Знак Знак Знак Знак Знак Знак Знак Знак Знак Знак Знак Знак"/>
    <w:basedOn w:val="style0"/>
    <w:next w:val="style35"/>
    <w:pPr>
      <w:suppressAutoHyphens w:val="false"/>
      <w:spacing w:after="160" w:before="0" w:line="240" w:lineRule="exact"/>
    </w:pPr>
    <w:rPr>
      <w:rFonts w:ascii="Verdana" w:cs="Verdana" w:hAnsi="Verdana"/>
      <w:lang w:eastAsia="en-US" w:val="en-US"/>
    </w:rPr>
  </w:style>
  <w:style w:styleId="style36" w:type="paragraph">
    <w:name w:val="Text body indent"/>
    <w:basedOn w:val="style0"/>
    <w:next w:val="style36"/>
    <w:pPr>
      <w:spacing w:after="120" w:before="0"/>
      <w:ind w:hanging="0" w:left="283" w:right="0"/>
    </w:pPr>
    <w:rPr/>
  </w:style>
  <w:style w:styleId="style37" w:type="paragraph">
    <w:name w:val="Обычный1"/>
    <w:next w:val="style37"/>
    <w:pPr>
      <w:widowControl/>
      <w:tabs>
        <w:tab w:leader="none" w:pos="708" w:val="left"/>
      </w:tabs>
      <w:suppressAutoHyphens w:val="true"/>
    </w:pPr>
    <w:rPr>
      <w:rFonts w:ascii="Times New Roman" w:cs="Times New Roman" w:eastAsia="Arial" w:hAnsi="Times New Roman"/>
      <w:color w:val="auto"/>
      <w:sz w:val="20"/>
      <w:szCs w:val="20"/>
      <w:lang w:bidi="ar-SA" w:eastAsia="ar-SA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2013-09-15T19:30:00.00Z</dcterms:created>
  <dc:creator>ASKO PC</dc:creator>
  <cp:lastModifiedBy>Ruslan Serkin</cp:lastModifiedBy>
  <cp:lastPrinted>2013-08-06T05:51:00.00Z</cp:lastPrinted>
  <dcterms:modified xsi:type="dcterms:W3CDTF">2013-09-15T19:30:00.00Z</dcterms:modified>
  <cp:revision>2</cp:revision>
  <dc:title>(Образец полиса)</dc:title>
</cp:coreProperties>
</file>