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888"/>
        <w:gridCol w:w="5240"/>
        <w:gridCol w:w="2535"/>
      </w:tblGrid>
      <w:tr>
        <w:trPr>
          <w:trHeight w:hRule="atLeast" w:val="114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240"/>
            <w:tcBorders>
              <w:top w:color="000001" w:space="0" w:sz="4" w:val="single"/>
              <w:left w:val="nil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ПОЛИС СТРАХОВАНИЯ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ВКЛАДОВ, СБЕРЕЖЕНИЙ И ДРУГИХ ИНВЕСТИЦИЙ.</w:t>
            </w:r>
          </w:p>
        </w:tc>
        <w:tc>
          <w:tcPr>
            <w:tcW w:type="dxa" w:w="25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Серия  {{t1}}</w:t>
              <w:br/>
              <w:t>{{t2}}</w:t>
            </w:r>
          </w:p>
        </w:tc>
      </w:tr>
      <w:tr>
        <w:trPr>
          <w:trHeight w:hRule="atLeast" w:val="740"/>
          <w:cantSplit w:val="false"/>
        </w:trPr>
        <w:tc>
          <w:tcPr>
            <w:tcW w:type="dxa" w:w="10663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Настоящий Страховой Полис выдан  Санкт-Петербургское агентство в г. Санкт-Петербурге Общество с ограниченной ответственностью  «СК «ЭСТЕР», на основании Заявления на страхование от {{dog_date}}г. и удостоверяет факт заключения Полиса страхования, на условиях, изложенных в Правилах страхования вкладов, сбережений и других инвестиций  в редакции от 11.11.13г.  (далее Правила),  Данный Полис, Заявление, Правила,  рассматриваются как единый документ.</w:t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Страховщик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Вид страхования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Страхование </w:t>
            </w:r>
            <w:r>
              <w:rPr>
                <w:color w:val="000000"/>
                <w:sz w:val="14"/>
                <w:szCs w:val="14"/>
              </w:rPr>
              <w:t xml:space="preserve">сбережений и других инвестиций. </w:t>
            </w:r>
          </w:p>
        </w:tc>
      </w:tr>
      <w:tr>
        <w:trPr>
          <w:trHeight w:hRule="atLeast" w:val="496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Страхователь ( Выгодоприобретатель)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5"/>
              <w:widowControl/>
              <w:suppressAutoHyphens w:val="true"/>
              <w:spacing w:after="120" w:before="0"/>
              <w:ind w:hanging="0" w:left="0" w:right="0"/>
              <w:contextualSpacing w:val="false"/>
              <w:rPr>
                <w:rFonts w:ascii="Times New Roman" w:cs="Times New Roman" w:hAnsi="Times New Roman"/>
                <w:bCs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Cs/>
                <w:sz w:val="14"/>
                <w:szCs w:val="14"/>
              </w:rPr>
              <w:t>{{t3}} {{t4}} {{t5}}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Адрес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9"/>
              <w:spacing w:after="100" w:before="100"/>
              <w:contextualSpacing w:val="fals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{{t6}}</w:t>
            </w:r>
          </w:p>
        </w:tc>
      </w:tr>
      <w:tr>
        <w:trPr>
          <w:trHeight w:hRule="atLeast" w:val="1156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Предмет страхования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9"/>
              <w:spacing w:after="0" w:before="0"/>
              <w:contextualSpacing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Предметом  Договора являются отношения сторон в процессе реализации Программы страхования сбережений и других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«{{cooperative}}», членом которой является Исполнитель – КПК «{{performer}}» (далее -  Коoператив).</w:t>
            </w:r>
          </w:p>
        </w:tc>
      </w:tr>
      <w:tr>
        <w:trPr>
          <w:trHeight w:hRule="atLeast" w:val="731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Объект  страхования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8"/>
              <w:ind w:hanging="0" w:left="0" w:right="0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Объектом страхования являются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не противоречащие законодательству Российской Федерации имущественные интересы и финансовые риски, связанные с убытками Страхователя, возникшими в результате неисполнения Субъектами (кредитными кооперативами и иными организациями)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при осуществлении Страхователем инвестиционной деятельности</w:t>
            </w:r>
          </w:p>
        </w:tc>
      </w:tr>
      <w:tr>
        <w:trPr>
          <w:trHeight w:hRule="atLeast" w:val="365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Страховой случай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Страховыми случаями признаются следующее события, наступившие в период осуществления Страхователем инвестиционной деятельности: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Банкротство предприятий и организаций, являющихся объектом инвестирования, подтвержденное судом или другим порядком, предусмотренным законодательством Российской Федерации (риск “банкротство” наступает с момента признания факта несостоятельности предприятия (объекта инвестирования) арбитражным судом или официального объявления о ней объектом инвестирования при его добровольной ликвидации). </w:t>
            </w:r>
          </w:p>
        </w:tc>
      </w:tr>
      <w:tr>
        <w:trPr>
          <w:trHeight w:hRule="atLeast" w:val="570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Сроки действия полиса страхования</w:t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 (Двенадцать) месяцев, с «{{period_start_day}}» {{period_start_month}} {{period_start_year}}г., но не ранее ноля часов дня, следующего за днём уплаты Страхователем страховой премии, по «{{period_end_day}}» {{period_end_month}} {{period_end_year}}г.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сумма, руб.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премия</w:t>
            </w:r>
            <w:r>
              <w:rPr>
                <w:b/>
                <w:sz w:val="14"/>
                <w:szCs w:val="14"/>
                <w:lang w:val="en-US"/>
              </w:rPr>
              <w:t>,</w:t>
            </w:r>
            <w:r>
              <w:rPr>
                <w:b/>
                <w:sz w:val="14"/>
                <w:szCs w:val="14"/>
              </w:rPr>
              <w:t xml:space="preserve"> руб.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{{payment_premium}}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Условия платежа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Единовременно, наличным платежом</w:t>
            </w:r>
            <w:r>
              <w:rPr>
                <w:bCs/>
                <w:sz w:val="14"/>
                <w:szCs w:val="14"/>
              </w:rPr>
              <w:t xml:space="preserve"> при </w:t>
            </w:r>
            <w:r>
              <w:rPr>
                <w:sz w:val="14"/>
                <w:szCs w:val="14"/>
              </w:rPr>
              <w:t>подписании настоящего Полиса.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Особые условия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Основания выдачи поли страхования</w:t>
            </w:r>
          </w:p>
        </w:tc>
      </w:tr>
      <w:tr>
        <w:trPr>
          <w:trHeight w:hRule="atLeast" w:val="915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Приложения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184" w:val="left"/>
              </w:tabs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1.</w:t>
            </w:r>
            <w:r>
              <w:rPr>
                <w:sz w:val="14"/>
                <w:szCs w:val="14"/>
              </w:rPr>
              <w:t xml:space="preserve"> Правила страхования сбережений и других инвестиций</w:t>
            </w:r>
            <w:r>
              <w:rPr>
                <w:color w:val="000000"/>
                <w:sz w:val="14"/>
                <w:szCs w:val="14"/>
              </w:rPr>
              <w:t xml:space="preserve">  в редакции от 11</w:t>
            </w:r>
            <w:r>
              <w:rPr>
                <w:sz w:val="14"/>
                <w:szCs w:val="14"/>
              </w:rPr>
              <w:t>.11.2013г.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Заявление на страхование от {{dog_date}}г. </w:t>
            </w:r>
          </w:p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Полис страхования  Серия {{t1}}</w:t>
            </w:r>
            <w:r>
              <w:rPr>
                <w:color w:val="000000"/>
                <w:sz w:val="14"/>
                <w:szCs w:val="14"/>
              </w:rPr>
              <w:t xml:space="preserve"> от {{current_date}}г.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. Лицензия С № от 27.01.2011г.</w:t>
            </w:r>
          </w:p>
        </w:tc>
      </w:tr>
    </w:tbl>
    <w:tbl>
      <w:tblPr>
        <w:jc w:val="left"/>
        <w:tblInd w:type="dxa" w:w="-62"/>
        <w:tblBorders>
          <w:top w:val="nil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5353"/>
        <w:gridCol w:w="5316"/>
      </w:tblGrid>
      <w:tr>
        <w:trPr>
          <w:cantSplit w:val="false"/>
        </w:trPr>
        <w:tc>
          <w:tcPr>
            <w:tcW w:type="dxa" w:w="535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rPr>
                <w:b/>
                <w:sz w:val="14"/>
                <w:szCs w:val="14"/>
                <w:u w:val="single"/>
              </w:rPr>
            </w:pPr>
            <w:r>
              <w:rPr>
                <w:b/>
                <w:sz w:val="14"/>
                <w:szCs w:val="14"/>
                <w:u w:val="single"/>
              </w:rPr>
              <w:t>СТРАХОВЩИК: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Место нахождения:</w:t>
            </w:r>
            <w:r>
              <w:rPr>
                <w:sz w:val="14"/>
                <w:szCs w:val="14"/>
              </w:rPr>
              <w:t xml:space="preserve"> 456910,Россия,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Челябинская область, г. Сатка, ул. Пролетарская, д. 30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7404005342,КПП 772643001,ОГРН 1027401065449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Филиал в г. Москве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Адрес: 115230 г.Москва, Варшавское шоссе,д.46, офис 611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Санкт-Петербургское агентство в г. Санкт-Петербурге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адрес:192019, г. Санкт-Петербург,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Тел/факс:  </w:t>
            </w:r>
            <w:r>
              <w:rPr>
                <w:sz w:val="14"/>
                <w:szCs w:val="14"/>
              </w:rPr>
              <w:t>(812) 643-33-23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Получатель: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Cs/>
                <w:iCs/>
                <w:sz w:val="14"/>
                <w:szCs w:val="14"/>
              </w:rPr>
              <w:t>Р/СЧ: 40702810700040002180 в СПБ филиал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АКБ «Ланта-Банк» (ЗАО)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К/СЧ: 30101810900000000761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БИК: 044030761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_______________________/</w:t>
            </w:r>
            <w:r>
              <w:rPr>
                <w:b/>
                <w:sz w:val="14"/>
                <w:szCs w:val="14"/>
              </w:rPr>
              <w:t>____________</w:t>
            </w:r>
            <w:r>
              <w:rPr>
                <w:sz w:val="14"/>
                <w:szCs w:val="14"/>
              </w:rPr>
              <w:t>/</w:t>
            </w:r>
          </w:p>
          <w:p>
            <w:pPr>
              <w:pStyle w:val="style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м.п.</w:t>
            </w:r>
            <w:r>
              <w:rPr>
                <w:bCs/>
                <w:sz w:val="14"/>
                <w:szCs w:val="14"/>
              </w:rPr>
              <w:t xml:space="preserve">   подпись                                </w:t>
            </w:r>
          </w:p>
          <w:p>
            <w:pPr>
              <w:pStyle w:val="style0"/>
              <w:widowControl w:val="false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1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>
                <w:rFonts w:ascii="Times New Roman" w:cs="Times New Roman" w:hAnsi="Times New Roman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/>
                <w:sz w:val="14"/>
                <w:szCs w:val="14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4"/>
                <w:szCs w:val="14"/>
              </w:rPr>
              <w:t xml:space="preserve"> </w:t>
            </w:r>
          </w:p>
          <w:p>
            <w:pPr>
              <w:pStyle w:val="style3"/>
              <w:numPr>
                <w:ilvl w:val="2"/>
                <w:numId w:val="1"/>
              </w:numPr>
              <w:spacing w:after="0" w:before="0"/>
              <w:ind w:hanging="720" w:left="720" w:right="0"/>
              <w:contextualSpacing w:val="false"/>
              <w:jc w:val="both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6"/>
              </w:rPr>
              <w:t>{{t3}} {{t4}} {{t5}}</w:t>
            </w:r>
          </w:p>
          <w:p>
            <w:pPr>
              <w:pStyle w:val="style24"/>
              <w:spacing w:after="0" w:before="0"/>
              <w:ind w:hanging="720" w:left="720" w:right="0"/>
              <w:contextualSpacing w:val="false"/>
              <w:jc w:val="both"/>
              <w:rPr/>
            </w:pPr>
            <w:r>
              <w:rPr/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Паспорт: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bookmarkStart w:id="0" w:name="_GoBack1"/>
            <w:bookmarkEnd w:id="0"/>
            <w:r>
              <w:rPr>
                <w:sz w:val="16"/>
                <w:szCs w:val="16"/>
              </w:rPr>
              <w:t xml:space="preserve">ерия {{t017}} номер {{t018}} 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Выдан: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{{t019}} </w:t>
            </w:r>
          </w:p>
          <w:p>
            <w:pPr>
              <w:pStyle w:val="style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Прописан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{{t6}}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Дата рождения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708" w:val="left"/>
                <w:tab w:leader="none" w:pos="3163" w:val="left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{{t020}}</w:t>
            </w:r>
          </w:p>
          <w:p>
            <w:pPr>
              <w:pStyle w:val="style0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Телефон: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bCs/>
                <w:iCs/>
                <w:sz w:val="16"/>
                <w:szCs w:val="16"/>
                <w:lang w:val="en-US"/>
              </w:rPr>
            </w:pPr>
            <w:r>
              <w:rPr>
                <w:bCs/>
                <w:iCs/>
                <w:sz w:val="16"/>
                <w:szCs w:val="16"/>
                <w:lang w:val="en-US"/>
              </w:rPr>
              <w:t>{{t021}}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Страхователя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____________________________/ _______________</w:t>
            </w:r>
            <w:r>
              <w:rPr>
                <w:b/>
                <w:bCs/>
                <w:sz w:val="14"/>
                <w:szCs w:val="14"/>
              </w:rPr>
              <w:t>/</w:t>
            </w:r>
            <w:r>
              <w:rPr>
                <w:b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</w:t>
            </w:r>
            <w:r>
              <w:rPr>
                <w:bCs/>
                <w:sz w:val="14"/>
                <w:szCs w:val="14"/>
              </w:rPr>
              <w:t xml:space="preserve">подпись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</w:tbl>
    <w:p>
      <w:pPr>
        <w:pStyle w:val="style0"/>
        <w:jc w:val="center"/>
        <w:rPr/>
      </w:pPr>
      <w:r>
        <w:rPr/>
      </w:r>
    </w:p>
    <w:sectPr>
      <w:type w:val="nextPage"/>
      <w:pgSz w:h="16838" w:w="11906"/>
      <w:pgMar w:bottom="1134" w:footer="0" w:gutter="0" w:header="0" w:left="567" w:right="850" w:top="426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Arial" w:hAnsi="Times New Roman"/>
      <w:color w:val="00000A"/>
      <w:sz w:val="20"/>
      <w:szCs w:val="20"/>
      <w:lang w:bidi="ar-SA" w:eastAsia="ar-SA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keepNext/>
      <w:jc w:val="center"/>
    </w:pPr>
    <w:rPr>
      <w:rFonts w:ascii="Arial" w:hAnsi="Arial"/>
      <w:b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basedOn w:val="style15"/>
    <w:next w:val="style16"/>
    <w:rPr>
      <w:rFonts w:ascii="Arial" w:cs="Times New Roman" w:eastAsia="Times New Roman" w:hAnsi="Arial"/>
      <w:b/>
      <w:sz w:val="20"/>
      <w:szCs w:val="20"/>
      <w:lang w:eastAsia="ru-RU"/>
    </w:rPr>
  </w:style>
  <w:style w:styleId="style17" w:type="character">
    <w:name w:val="Основной текст Знак"/>
    <w:basedOn w:val="style15"/>
    <w:next w:val="style17"/>
    <w:rPr>
      <w:rFonts w:ascii="Times New Roman" w:cs="Times New Roman" w:eastAsia="Times New Roman" w:hAnsi="Times New Roman"/>
      <w:szCs w:val="20"/>
      <w:lang w:eastAsia="ru-RU"/>
    </w:rPr>
  </w:style>
  <w:style w:styleId="style18" w:type="character">
    <w:name w:val="Основной текст с отступом Знак"/>
    <w:basedOn w:val="style15"/>
    <w:next w:val="style18"/>
    <w:rPr>
      <w:rFonts w:ascii="Times New Roman" w:cs="Times New Roman" w:eastAsia="Times New Roman" w:hAnsi="Times New Roman"/>
      <w:sz w:val="24"/>
      <w:szCs w:val="20"/>
      <w:lang w:eastAsia="ru-RU"/>
    </w:rPr>
  </w:style>
  <w:style w:styleId="style19" w:type="character">
    <w:name w:val="Заголовок 1 Знак"/>
    <w:basedOn w:val="style15"/>
    <w:next w:val="style19"/>
    <w:rPr>
      <w:rFonts w:ascii="Cambria" w:cs="" w:hAnsi="Cambria"/>
      <w:b/>
      <w:bCs/>
      <w:color w:val="365F91"/>
      <w:sz w:val="28"/>
      <w:szCs w:val="28"/>
      <w:lang w:eastAsia="ru-RU"/>
    </w:rPr>
  </w:style>
  <w:style w:styleId="style20" w:type="character">
    <w:name w:val="Основной текст 2 Знак"/>
    <w:basedOn w:val="style15"/>
    <w:next w:val="style20"/>
    <w:rPr>
      <w:rFonts w:ascii="Times New Roman" w:cs="Times New Roman" w:eastAsia="Times New Roman" w:hAnsi="Times New Roman"/>
      <w:sz w:val="20"/>
      <w:szCs w:val="20"/>
      <w:lang w:eastAsia="ru-RU"/>
    </w:rPr>
  </w:style>
  <w:style w:styleId="style21" w:type="character">
    <w:name w:val="Верхний колонтитул Знак"/>
    <w:basedOn w:val="style15"/>
    <w:next w:val="style21"/>
    <w:rPr>
      <w:rFonts w:ascii="Times New Roman" w:cs="Times New Roman" w:eastAsia="Times New Roman" w:hAnsi="Times New Roman"/>
      <w:sz w:val="20"/>
      <w:szCs w:val="20"/>
      <w:lang w:eastAsia="ru-RU"/>
    </w:rPr>
  </w:style>
  <w:style w:styleId="style22" w:type="character">
    <w:name w:val="Название Знак"/>
    <w:basedOn w:val="style15"/>
    <w:next w:val="style22"/>
    <w:rPr>
      <w:rFonts w:ascii="Times New Roman" w:cs="Times New Roman" w:eastAsia="Times New Roman" w:hAnsi="Times New Roman"/>
      <w:b/>
      <w:sz w:val="20"/>
      <w:szCs w:val="20"/>
      <w:lang w:eastAsia="ru-RU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4" w:type="paragraph">
    <w:name w:val="Text Body"/>
    <w:basedOn w:val="style0"/>
    <w:next w:val="style24"/>
    <w:pPr>
      <w:widowControl w:val="false"/>
      <w:spacing w:after="120" w:before="0"/>
      <w:ind w:firstLine="426" w:left="0" w:right="0"/>
      <w:contextualSpacing w:val="false"/>
      <w:jc w:val="both"/>
    </w:pPr>
    <w:rPr>
      <w:sz w:val="22"/>
    </w:rPr>
  </w:style>
  <w:style w:styleId="style25" w:type="paragraph">
    <w:name w:val="List"/>
    <w:basedOn w:val="style24"/>
    <w:next w:val="style25"/>
    <w:pPr>
      <w:widowControl/>
      <w:suppressAutoHyphens w:val="true"/>
      <w:ind w:hanging="0" w:left="0" w:right="0"/>
    </w:pPr>
    <w:rPr>
      <w:rFonts w:ascii="Arial" w:cs="Mangal" w:hAnsi="Arial"/>
      <w:sz w:val="24"/>
      <w:lang w:eastAsia="ar-SA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Text Body Indent"/>
    <w:basedOn w:val="style0"/>
    <w:next w:val="style28"/>
    <w:pPr>
      <w:ind w:firstLine="720" w:left="0" w:right="0"/>
      <w:jc w:val="both"/>
    </w:pPr>
    <w:rPr>
      <w:sz w:val="24"/>
    </w:rPr>
  </w:style>
  <w:style w:styleId="style29" w:type="paragraph">
    <w:name w:val="a"/>
    <w:basedOn w:val="style0"/>
    <w:next w:val="style29"/>
    <w:pPr>
      <w:spacing w:after="100" w:before="100"/>
      <w:contextualSpacing w:val="false"/>
    </w:pPr>
    <w:rPr>
      <w:rFonts w:eastAsia="Calibri"/>
      <w:sz w:val="24"/>
      <w:szCs w:val="24"/>
    </w:rPr>
  </w:style>
  <w:style w:styleId="style30" w:type="paragraph">
    <w:name w:val="Body Text 2"/>
    <w:basedOn w:val="style0"/>
    <w:next w:val="style30"/>
    <w:pPr>
      <w:spacing w:after="120" w:before="0" w:line="480" w:lineRule="auto"/>
      <w:ind w:firstLine="720" w:left="0" w:right="0"/>
      <w:contextualSpacing w:val="false"/>
      <w:jc w:val="both"/>
    </w:pPr>
    <w:rPr>
      <w:rFonts w:ascii="Arial" w:hAnsi="Arial"/>
    </w:rPr>
  </w:style>
  <w:style w:styleId="style31" w:type="paragraph">
    <w:name w:val="FR1"/>
    <w:next w:val="style31"/>
    <w:pPr>
      <w:widowControl w:val="false"/>
      <w:suppressAutoHyphens w:val="true"/>
      <w:spacing w:after="0" w:before="240" w:line="312" w:lineRule="auto"/>
      <w:ind w:firstLine="700" w:left="0" w:right="0"/>
      <w:contextualSpacing w:val="false"/>
    </w:pPr>
    <w:rPr>
      <w:rFonts w:ascii="Arial" w:cs="Times New Roman" w:eastAsia="Times New Roman" w:hAnsi="Arial"/>
      <w:color w:val="00000A"/>
      <w:sz w:val="18"/>
      <w:szCs w:val="20"/>
      <w:lang w:bidi="ar-SA" w:eastAsia="ru-RU" w:val="ru-RU"/>
    </w:rPr>
  </w:style>
  <w:style w:styleId="style32" w:type="paragraph">
    <w:name w:val="Header"/>
    <w:basedOn w:val="style0"/>
    <w:next w:val="style32"/>
    <w:pPr>
      <w:tabs>
        <w:tab w:leader="none" w:pos="4153" w:val="center"/>
        <w:tab w:leader="none" w:pos="8306" w:val="right"/>
      </w:tabs>
    </w:pPr>
    <w:rPr/>
  </w:style>
  <w:style w:styleId="style33" w:type="paragraph">
    <w:name w:val="Title"/>
    <w:basedOn w:val="style0"/>
    <w:next w:val="style33"/>
    <w:pPr>
      <w:widowControl w:val="false"/>
      <w:spacing w:line="240" w:lineRule="atLeast"/>
      <w:jc w:val="center"/>
    </w:pPr>
    <w:rPr>
      <w:b/>
    </w:rPr>
  </w:style>
  <w:style w:styleId="style34" w:type="paragraph">
    <w:name w:val="Table Contents"/>
    <w:basedOn w:val="style0"/>
    <w:next w:val="style34"/>
    <w:pPr/>
    <w:rPr/>
  </w:style>
  <w:style w:styleId="style35" w:type="paragraph">
    <w:name w:val="Table Heading"/>
    <w:basedOn w:val="style34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LibreOffice/4.1.2.3$Linux_X86_64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2013-11-01T06:29:00Z</dcterms:created>
  <dc:creator>Алексей</dc:creator>
  <cp:lastModifiedBy>Алексей</cp:lastModifiedBy>
  <dcterms:modified xsi:type="dcterms:W3CDTF">2013-11-01T06:33:00Z</dcterms:modified>
  <cp:revision>1</cp:revision>
</cp:coreProperties>
</file>