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критерий- DSCR (покрытие долга денежным потоком) -15 баллов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hd w:fill="e6b8af" w:val="clear"/>
        </w:rPr>
      </w:pPr>
      <w:r w:rsidDel="00000000" w:rsidR="00000000" w:rsidRPr="00000000">
        <w:rPr>
          <w:b w:val="1"/>
          <w:bCs w:val="1"/>
          <w:shd w:fill="e6b8af" w:val="clear"/>
          <w:rtl w:val="0"/>
        </w:rPr>
        <w:t xml:space="preserve">DSCR = Чистый операционный доход (NOI) / Годовое обслуживание долга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noi  - выручка минус операционные расходы (включая налоги и проценты по текущим кредитам).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обслуживание долга -сумма всех платежей по кредитам за год: тело долга + проценты + лизинговые платежи + платежи по новому кредиту.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u w:val="single"/>
          <w:rtl w:val="0"/>
        </w:rPr>
        <w:t xml:space="preserve">Объяснение</w:t>
      </w:r>
      <w:r w:rsidDel="00000000" w:rsidR="00000000" w:rsidRPr="00000000">
        <w:rPr>
          <w:rtl w:val="0"/>
        </w:rPr>
        <w:t xml:space="preserve">: Кредиторы традиционно требуют DSCR </w:t>
      </w:r>
      <w:r w:rsidDel="00000000" w:rsidR="00000000" w:rsidRPr="00000000">
        <w:rPr>
          <w:b w:val="1"/>
          <w:bCs w:val="1"/>
          <w:rtl w:val="0"/>
        </w:rPr>
        <w:t xml:space="preserve">не ниже 1,25</w:t>
      </w:r>
      <w:r w:rsidDel="00000000" w:rsidR="00000000" w:rsidRPr="00000000">
        <w:rPr>
          <w:rtl w:val="0"/>
        </w:rPr>
        <w:t xml:space="preserve"> - это означает, что бизнес зарабатывает </w:t>
      </w:r>
      <w:r w:rsidDel="00000000" w:rsidR="00000000" w:rsidRPr="00000000">
        <w:rPr>
          <w:b w:val="1"/>
          <w:bCs w:val="1"/>
          <w:rtl w:val="0"/>
        </w:rPr>
        <w:t xml:space="preserve">на 25% больше, чем нужно для покрытия долга</w:t>
      </w:r>
      <w:r w:rsidDel="00000000" w:rsidR="00000000" w:rsidRPr="00000000">
        <w:rPr>
          <w:rtl w:val="0"/>
        </w:rPr>
        <w:t xml:space="preserve">, создавая буфер на случай просадки выручки. Значение 1,0 -это впритык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любое снижение дохода ведет к дефолту.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Значение выше 1,5 считается сильным запасом прочности.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Поэтому 15 баллов даётся при DSCR ≥ 1,5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 баллов — при 1,25–1,5 (стандартный банковский порог)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 баллов — при 1,0–1,25 (пограничная зона)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 баллов — при DSCR &lt; 1,0 (прямой риск дефолта)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Долговая нагрузка (Debt/EBITDA) - 10 баллов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hd w:fill="e6b8af" w:val="clear"/>
        </w:rPr>
      </w:pPr>
      <w:r w:rsidDel="00000000" w:rsidR="00000000" w:rsidRPr="00000000">
        <w:rPr>
          <w:b w:val="1"/>
          <w:bCs w:val="1"/>
          <w:shd w:fill="e6b8af" w:val="clear"/>
          <w:rtl w:val="0"/>
        </w:rPr>
        <w:t xml:space="preserve">Debt/EBITDA = (Ссудная задолженность во всех банках + лизинг) / (Прибыль до налогообложения + амортизация + проценты к уплате)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u w:val="single"/>
          <w:rtl w:val="0"/>
        </w:rPr>
        <w:t xml:space="preserve">Объяснение</w:t>
      </w:r>
      <w:r w:rsidDel="00000000" w:rsidR="00000000" w:rsidRPr="00000000">
        <w:rPr>
          <w:rtl w:val="0"/>
        </w:rPr>
        <w:t xml:space="preserve">:  В банковской практике считается: 0-3 - приемлемая нагрузка, выше 3 - высокая.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Вообще иногда порог может меняться типа значение чистого долга до 2,5, а выше 4 -отказ. Для МСП(малое и сред предприятие) часто используют более мягкий ориентир - не более 3. 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Поэтому 10 баллов - при &lt; 1,5 (низкая нагрузка)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 баллов — при 1,5–3,0 (приемлемая)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0 баллов — при &gt; 3,0 (высокая)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Рентабельность и стабильность выручки - 10 баллов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hd w:fill="e6b8af" w:val="clear"/>
        </w:rPr>
      </w:pPr>
      <w:r w:rsidDel="00000000" w:rsidR="00000000" w:rsidRPr="00000000">
        <w:rPr>
          <w:b w:val="1"/>
          <w:bCs w:val="1"/>
          <w:shd w:fill="e6b8af" w:val="clear"/>
          <w:rtl w:val="0"/>
        </w:rPr>
        <w:t xml:space="preserve">Рентабельность продаж = Валовая прибыль / Выручка.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Стабильность выручки оценивается по динамике за 2–3 года: коэффициент вариации или просто сравнение темпов роста/падения.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u w:val="single"/>
          <w:rtl w:val="0"/>
        </w:rPr>
        <w:t xml:space="preserve">Объяснение</w:t>
      </w:r>
      <w:r w:rsidDel="00000000" w:rsidR="00000000" w:rsidRPr="00000000">
        <w:rPr>
          <w:rtl w:val="0"/>
        </w:rPr>
        <w:t xml:space="preserve">: Рентабельность продаж выше 0,3 считается высокорентабельной, ниже 0 - убыточной; для платежеспособных предприятий порог часто &gt; 0,06.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Стабильная растущая выручка снижает неопределенность денежного потока. 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Поэтому 10 баллов - стабильный рост и рентабельность выше отраслевого уровня;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5 баллов - незначительные колебания;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0 баллов - падение выручки или отрицательная рентабельность.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4. Ликвидность (коэффициент текущей ликвидности) — 5 баллов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shd w:fill="e6b8af" w:val="clear"/>
          <w:rtl w:val="0"/>
        </w:rPr>
        <w:t xml:space="preserve">Ктл = Оборотные активы / Краткосрочные обязательства</w:t>
      </w:r>
      <w:r w:rsidDel="00000000" w:rsidR="00000000" w:rsidRPr="00000000">
        <w:rPr>
          <w:rtl w:val="0"/>
        </w:rPr>
        <w:t xml:space="preserve"> (срок до 12 месяцев).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Краткосрочные обязательства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это долги и обязательства, которые нужно погасить в течение ближайших 12 месяцев.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Оборотные активы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— это имущество и права, которые бизнес использует в течение обычного операционного цикла (до 12 месяцев) и которые быстро превращаются в деньги.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u w:val="single"/>
          <w:rtl w:val="0"/>
        </w:rPr>
        <w:t xml:space="preserve">Объяснение</w:t>
      </w:r>
      <w:r w:rsidDel="00000000" w:rsidR="00000000" w:rsidRPr="00000000">
        <w:rPr>
          <w:rtl w:val="0"/>
        </w:rPr>
        <w:t xml:space="preserve">: Ориентир — 1,5–2,5 (комфортно); 1,0–1,2 — погранично; ниже 1,0— риск кассового разрыва, компания зависит от новых займов. Для ритейла с быстрой оборачиваемостью допустимо 1,2. 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Поэтому 5 баллов — Ктл ≥ 1,5;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3 балла — 1,0–1,5;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0 баллов — &lt; 1,0.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Просрочки за 36 месяцев — 15 баллов</w:t>
      </w:r>
    </w:p>
    <w:p w:rsidR="00000000" w:rsidDel="00000000" w:rsidP="00000000" w:rsidRDefault="00000000" w:rsidRPr="00000000" w14:paraId="00000034">
      <w:pPr>
        <w:rPr>
          <w:b w:val="1"/>
          <w:bCs w:val="1"/>
          <w:shd w:fill="e6b8a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hd w:fill="e6b8af" w:val="clear"/>
        </w:rPr>
      </w:pPr>
      <w:r w:rsidDel="00000000" w:rsidR="00000000" w:rsidRPr="00000000">
        <w:rPr>
          <w:b w:val="1"/>
          <w:bCs w:val="1"/>
          <w:shd w:fill="e6b8af" w:val="clear"/>
          <w:rtl w:val="0"/>
        </w:rPr>
        <w:t xml:space="preserve">Анализ кредитной истории из бюро: наличие/отсутствие просроченных платежей, их длительность и давность.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u w:val="single"/>
          <w:rtl w:val="0"/>
        </w:rPr>
        <w:t xml:space="preserve">Объяснение</w:t>
      </w:r>
      <w:r w:rsidDel="00000000" w:rsidR="00000000" w:rsidRPr="00000000">
        <w:rPr>
          <w:rtl w:val="0"/>
        </w:rPr>
        <w:t xml:space="preserve">: Любые просрочки — сигнал рискованного поведения; банк видит, что заемщик «платит с задержками». Просрочка более 30 дней считается отрицательным фактором, длительная — прямой отказ. Отсутствие просрочек — сильный положительный сигнал. 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Поэтому 15 баллов — просрочек нет;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10 баллов — только технические до 30 дней;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5 баллов– всевозможные просрочки до 30 дней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0 баллов — были просрочки более 30 дней.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Действующие обязательства — 10 баллов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hd w:fill="e6b8af" w:val="clear"/>
        </w:rPr>
      </w:pPr>
      <w:r w:rsidDel="00000000" w:rsidR="00000000" w:rsidRPr="00000000">
        <w:rPr>
          <w:b w:val="1"/>
          <w:bCs w:val="1"/>
          <w:shd w:fill="e6b8af" w:val="clear"/>
          <w:rtl w:val="0"/>
        </w:rPr>
        <w:t xml:space="preserve">Анализ текущей долговой нагрузки: количество и качество обслуживания действующих кредитов, наличие признаков реструктуризации.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u w:val="single"/>
          <w:rtl w:val="0"/>
        </w:rPr>
        <w:t xml:space="preserve">Объяснение</w:t>
      </w:r>
      <w:r w:rsidDel="00000000" w:rsidR="00000000" w:rsidRPr="00000000">
        <w:rPr>
          <w:rtl w:val="0"/>
        </w:rPr>
        <w:t xml:space="preserve">:  Реструктуризация или признаки финансовых трудностей по текущим долгам — маркер повышенного риска. Отсутствие действующих обязательств или их безупречное обслуживание снижает риск. 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Поэтому 10 баллов — обязательств нет;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5 баллов — есть, обслуживаются вовремя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0 баллов — есть признаки реструктуризации.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Возраст бизнеса — 10 баллов</w:t>
      </w:r>
    </w:p>
    <w:p w:rsidR="00000000" w:rsidDel="00000000" w:rsidP="00000000" w:rsidRDefault="00000000" w:rsidRPr="00000000" w14:paraId="0000004B">
      <w:pPr>
        <w:rPr>
          <w:b w:val="1"/>
          <w:bCs w:val="1"/>
          <w:shd w:fill="e6b8a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hd w:fill="e6b8af" w:val="clear"/>
        </w:rPr>
      </w:pPr>
      <w:r w:rsidDel="00000000" w:rsidR="00000000" w:rsidRPr="00000000">
        <w:rPr>
          <w:b w:val="1"/>
          <w:bCs w:val="1"/>
          <w:shd w:fill="e6b8af" w:val="clear"/>
          <w:rtl w:val="0"/>
        </w:rPr>
        <w:t xml:space="preserve">Количество лет с даты регистрации юридического лица / ИП до даты подачи заявки.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u w:val="single"/>
          <w:rtl w:val="0"/>
        </w:rPr>
        <w:t xml:space="preserve">Объяснение</w:t>
      </w:r>
      <w:r w:rsidDel="00000000" w:rsidR="00000000" w:rsidRPr="00000000">
        <w:rPr>
          <w:rtl w:val="0"/>
        </w:rPr>
        <w:t xml:space="preserve">: Исследования показывают: молодые компании (менее 3 лет) — зона высокого риска, 4–6 лет — среднего, от 7 лет — низкого. Банки чаще отказывают бизнесу младше года из-за отсутствия истории. У молодых фирм нет сформированной кредитной истории и финансового трека. 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Поэтому 10 баллов — &gt; 5 лет;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7 баллов — 3–5 лет;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4 балла — 1–3 года; 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 баллов — &lt; 1 года.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Отраслевой риск — 5 баллов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hd w:fill="e6b8af" w:val="clear"/>
        </w:rPr>
      </w:pPr>
      <w:r w:rsidDel="00000000" w:rsidR="00000000" w:rsidRPr="00000000">
        <w:rPr>
          <w:b w:val="1"/>
          <w:bCs w:val="1"/>
          <w:shd w:fill="e6b8af" w:val="clear"/>
          <w:rtl w:val="0"/>
        </w:rPr>
        <w:t xml:space="preserve">Присвоение отрасли (по ОКВЭД) категории риска на основе статистики дефолтов и макроэкономической уязвимости.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u w:val="single"/>
          <w:rtl w:val="0"/>
        </w:rPr>
        <w:t xml:space="preserve">Объяснение </w:t>
      </w:r>
      <w:r w:rsidDel="00000000" w:rsidR="00000000" w:rsidRPr="00000000">
        <w:rPr>
          <w:rtl w:val="0"/>
        </w:rPr>
        <w:t xml:space="preserve">Качество кредитного портфеля существенно различается по отраслям. Наиболее уязвимые отрасли (например, оптовая торговля) традиционно лидируют по числу МСП с высоким риском. 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Поэтому 5 баллов — низкий отраслевой риск;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3 балла — средний;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0 баллов — высокий.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Аномалии в выписке — 5 баллов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shd w:fill="e6b8af" w:val="clear"/>
          <w:rtl w:val="0"/>
        </w:rPr>
        <w:t xml:space="preserve"> Качественный анализ банковской выписки: круговые переводы, внезапные скачки оборотов, подозрительные контрагенты, несоответствие налоговой нагрузки оборот</w:t>
      </w:r>
      <w:r w:rsidDel="00000000" w:rsidR="00000000" w:rsidRPr="00000000">
        <w:rPr>
          <w:rtl w:val="0"/>
        </w:rPr>
        <w:t xml:space="preserve">у.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u w:val="single"/>
          <w:rtl w:val="0"/>
        </w:rPr>
        <w:t xml:space="preserve">Объяснение </w:t>
      </w:r>
      <w:r w:rsidDel="00000000" w:rsidR="00000000" w:rsidRPr="00000000">
        <w:rPr>
          <w:rtl w:val="0"/>
        </w:rPr>
        <w:t xml:space="preserve">Банк смотрит на структуру входящих и исходящих платежей, связи через учредителей с рисковыми компаниями, динамику оборотов. Операции с сомнительными контрагентами — риск попасть под подозрение.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Поэтому 5 баллов — аномалий нет; 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балла — незначительные;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0 баллов — существенные.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Репутация и судебные споры — 5 баллов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hd w:fill="e6b8af" w:val="clear"/>
        </w:rPr>
      </w:pPr>
      <w:r w:rsidDel="00000000" w:rsidR="00000000" w:rsidRPr="00000000">
        <w:rPr>
          <w:b w:val="1"/>
          <w:bCs w:val="1"/>
          <w:shd w:fill="e6b8af" w:val="clear"/>
          <w:rtl w:val="0"/>
        </w:rPr>
        <w:t xml:space="preserve">Проверка руководителя и бизнеса: наличие крупных судебных исков, дел о банкротстве, дисквалификации, негативных публикаций.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Объяснение Действующее дело о банкротстве, недостоверные сведения в реестре, дисквалификация руководителя — формальные стоп-факторы для отказа. Крупные иски и негативная репутация повышают риск. 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Поэтому 5 баллов — репутация чистая;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2 балла — незначительные споры;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0 баллов — крупные иски/банкротство.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Обеспечение — 5 баллов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hd w:fill="e6b8af" w:val="clear"/>
        </w:rPr>
      </w:pPr>
      <w:r w:rsidDel="00000000" w:rsidR="00000000" w:rsidRPr="00000000">
        <w:rPr>
          <w:b w:val="1"/>
          <w:bCs w:val="1"/>
          <w:shd w:fill="e6b8af" w:val="clear"/>
          <w:rtl w:val="0"/>
        </w:rPr>
        <w:t xml:space="preserve">Наличие и качество залога (недвижимость, оборудование, транспорт) или поручительства.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Объяснение Обеспечение снижает риск банка и влияет на ставку для клиента. Наличие залога/поручительства — положительный фактор; отсутствие — риск выше.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Поэтому 5 баллов — есть залог/поручительство;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2 балла — частичное; 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 баллов — без обеспечения.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12. Соответствие цели и суммы — 5 баллов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Проверка, подтверждена ли запрошенная сумма и цель кредита документами (счёт, договор, смета).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Объяснение Обоснованность цели и суммы — один из ключевых критериев, оцениваемых сотрудником вручную. Если цель не подтверждена, это признак возможного нецелевого использования или мошенничества. 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Поэтому 5 баллов — подтверждено документами;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2 балла — требует уточнения;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0 баллов — не подтверждено.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hd w:fill="e6b8af" w:val="clear"/>
        </w:rPr>
      </w:pPr>
      <w:r w:rsidDel="00000000" w:rsidR="00000000" w:rsidRPr="00000000">
        <w:rPr>
          <w:b w:val="1"/>
          <w:bCs w:val="1"/>
          <w:shd w:fill="e6b8af" w:val="clear"/>
          <w:rtl w:val="0"/>
        </w:rPr>
        <w:t xml:space="preserve">Итоговый класс риска и связь с 590-П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Сумма баллов переводится в класс: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Класс A (80–100) — низкий риск.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Соответствует I–II категории качества по 590-П (стандартные/нестандартные ссуды), расчетный резерв 0–20%.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Класс B (50–79) </w:t>
      </w:r>
      <w:r w:rsidDel="00000000" w:rsidR="00000000" w:rsidRPr="00000000">
        <w:rPr>
          <w:rtl w:val="0"/>
        </w:rPr>
        <w:t xml:space="preserve">— умеренный риск. Соответствует II–III категории (нестандартные/сомнительные), резерв 1–50%.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Класс C (30–49</w:t>
      </w:r>
      <w:r w:rsidDel="00000000" w:rsidR="00000000" w:rsidRPr="00000000">
        <w:rPr>
          <w:rtl w:val="0"/>
        </w:rPr>
        <w:t xml:space="preserve"> — высокий риск. Соответствует III–IV категории (сомнительные/проблемные), резерв 21–100%.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Класс D (&lt; 30) </w:t>
      </w:r>
      <w:r w:rsidDel="00000000" w:rsidR="00000000" w:rsidRPr="00000000">
        <w:rPr>
          <w:rtl w:val="0"/>
        </w:rPr>
        <w:t xml:space="preserve">— критический риск. Соответствует IV–V категории (проблемные/безнадежные), резерв 51–100%.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Стоп-факторы (недействующая компания, банкротство, просрочка &gt; 90 дней, отсутствие подтвержденной выручки) — автоматический класс D без дальнейшего скоринга, что согласуется с требованиями 590-П о классификации ссуд не выше III категории при отсутствии информации о заемщике.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ну и плюс то , что ты сформировал и прислал мне в тг про автоматический отказ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