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7" w:name="X7b486f09b765c32c6d26ecfbf38e502fc7a7d74"/>
    <w:p>
      <w:pPr>
        <w:pStyle w:val="Heading1"/>
      </w:pPr>
      <w:r>
        <w:t xml:space="preserve">Техническое задание на проектирование и построение ЛВС и беспроводной сети Wi‑Fi нового складского корпуса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Объект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Складской корпус со вспомогательными помещениями (пристройка к существующему складу)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Республика Беларусь, Минский р‑н, Хатежинский с/с, район д. Таборы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Заказчик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[наименование организации — заполнить]; контактное лицо: Руслан, продакт-менеджер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Версия документа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 (черновик для запроса коммерческих предложений; учтены ответы заказчика от 27.09.2026)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Ведущий инженер проекта (ГИП)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[ФИО, контакты — заполнить]; к нему — вопросы по строительной части, электропитанию и смежным разделам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[заполнить]</w:t>
            </w:r>
          </w:p>
        </w:tc>
      </w:tr>
    </w:tbl>
    <w:p>
      <w:pPr>
        <w:pStyle w:val="BodyText"/>
      </w:pPr>
      <w:r>
        <w:rPr>
          <w:bCs/>
          <w:b/>
        </w:rPr>
        <w:t xml:space="preserve">Ключевые решения заказчика (обязательны для подрядчика):</w:t>
      </w:r>
      <w:r>
        <w:t xml:space="preserve"> </w:t>
      </w:r>
      <w:r>
        <w:t xml:space="preserve">активное оборудование —</w:t>
      </w:r>
      <w:r>
        <w:t xml:space="preserve"> </w:t>
      </w:r>
      <w:r>
        <w:rPr>
          <w:bCs/>
          <w:b/>
        </w:rPr>
        <w:t xml:space="preserve">только Huawei</w:t>
      </w:r>
      <w:r>
        <w:t xml:space="preserve"> </w:t>
      </w:r>
      <w:r>
        <w:t xml:space="preserve">(как ядро сети основного склада); Wi‑Fi управляется</w:t>
      </w:r>
      <w:r>
        <w:t xml:space="preserve"> </w:t>
      </w:r>
      <w:r>
        <w:rPr>
          <w:bCs/>
          <w:b/>
        </w:rPr>
        <w:t xml:space="preserve">существующим контроллером на коммутаторе ядра основного склада</w:t>
      </w:r>
      <w:r>
        <w:t xml:space="preserve">; в сети есть</w:t>
      </w:r>
      <w:r>
        <w:t xml:space="preserve"> </w:t>
      </w:r>
      <w:r>
        <w:rPr>
          <w:bCs/>
          <w:b/>
        </w:rPr>
        <w:t xml:space="preserve">устаревшие клиенты Wi‑Fi 4 (802.11n) только 2,4 ГГц</w:t>
      </w:r>
      <w:r>
        <w:t xml:space="preserve"> </w:t>
      </w:r>
      <w:r>
        <w:t xml:space="preserve">— диапазон 2,4 ГГц обязателен;</w:t>
      </w:r>
      <w:r>
        <w:t xml:space="preserve"> </w:t>
      </w:r>
      <w:r>
        <w:rPr>
          <w:bCs/>
          <w:b/>
        </w:rPr>
        <w:t xml:space="preserve">видеонаблюдение и СКУД — вне объёма</w:t>
      </w:r>
      <w:r>
        <w:t xml:space="preserve"> </w:t>
      </w:r>
      <w:r>
        <w:t xml:space="preserve">(проектируются отдельно).</w:t>
      </w:r>
    </w:p>
    <w:p>
      <w:pPr>
        <w:pStyle w:val="BodyText"/>
      </w:pPr>
      <w:r>
        <w:rPr>
          <w:bCs/>
          <w:b/>
        </w:rPr>
        <w:t xml:space="preserve">Как читать документ.</w:t>
      </w:r>
      <w:r>
        <w:t xml:space="preserve"> </w:t>
      </w:r>
      <w:r>
        <w:t xml:space="preserve">Всё, что установлено по чертежам, приведено со ссылкой на источник. Всё, что по чертежам установить нельзя, помечено как</w:t>
      </w:r>
      <w:r>
        <w:t xml:space="preserve"> </w:t>
      </w:r>
      <w:r>
        <w:rPr>
          <w:bCs/>
          <w:b/>
        </w:rPr>
        <w:t xml:space="preserve">[Допущение]</w:t>
      </w:r>
      <w:r>
        <w:t xml:space="preserve"> </w:t>
      </w:r>
      <w:r>
        <w:t xml:space="preserve">(принято для расчёта КП, подрядчик обязан проверить) или</w:t>
      </w:r>
      <w:r>
        <w:t xml:space="preserve"> </w:t>
      </w:r>
      <w:r>
        <w:rPr>
          <w:bCs/>
          <w:b/>
        </w:rPr>
        <w:t xml:space="preserve">[Вопрос]</w:t>
      </w:r>
      <w:r>
        <w:t xml:space="preserve"> </w:t>
      </w:r>
      <w:r>
        <w:t xml:space="preserve">(см. раздел 17 «Открытые вопросы к заказчику»). Подрядчик вправе предложить альтернативные технические решения при условии их обоснования.</w:t>
      </w:r>
    </w:p>
    <w:p>
      <w:r>
        <w:pict>
          <v:rect style="width:0;height:1.5pt" o:hralign="center" o:hrstd="t" o:hr="t"/>
        </w:pict>
      </w:r>
    </w:p>
    <w:bookmarkStart w:id="20" w:name="термины-и-сокращения"/>
    <w:p>
      <w:pPr>
        <w:pStyle w:val="Heading2"/>
      </w:pPr>
      <w:r>
        <w:t xml:space="preserve">1. Термины и сокращения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Сокращение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ЛВС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Локальная вычислительная сеть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Структурированная кабельная система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ВОЛС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Волоконно-оптическая линия связи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Телекоммуникационный шкаф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Точка доступа Wi‑Fi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ТСД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Терминал сбора данных (мобильный сканер/компьютер кладовщика, в т.ч. установленный на погрузчике)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ИБП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 бесперебойного питания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Питание устройств по витой паре (IEEE 802.3af/at/bt)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Уровень принимаемого сигнала, дБм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Отношение сигнал/шум, дБ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«AP-on-a-stick» — натурное обследование с временной установкой ТД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Исполнительная документация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Коммерческое предложение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цели-и-задачи"/>
    <w:p>
      <w:pPr>
        <w:pStyle w:val="Heading2"/>
      </w:pPr>
      <w:r>
        <w:t xml:space="preserve">2. Цели и задачи</w:t>
      </w:r>
    </w:p>
    <w:p>
      <w:pPr>
        <w:pStyle w:val="FirstParagraph"/>
      </w:pPr>
      <w:r>
        <w:rPr>
          <w:bCs/>
          <w:b/>
        </w:rPr>
        <w:t xml:space="preserve">Цель:</w:t>
      </w:r>
      <w:r>
        <w:t xml:space="preserve"> </w:t>
      </w:r>
      <w:r>
        <w:t xml:space="preserve">обеспечить новый складской корпус надёжной проводной и беспроводной сетью, интегрированной в существующую ЛВС основного склада, для работы складских процессов (ТСД, рабочие места, печать этикеток и т.п.).</w:t>
      </w:r>
    </w:p>
    <w:p>
      <w:pPr>
        <w:pStyle w:val="BodyText"/>
      </w:pPr>
      <w:r>
        <w:rPr>
          <w:bCs/>
          <w:b/>
        </w:rPr>
        <w:t xml:space="preserve">Задачи подрядчика:</w:t>
      </w:r>
    </w:p>
    <w:p>
      <w:pPr>
        <w:numPr>
          <w:ilvl w:val="0"/>
          <w:numId w:val="1001"/>
        </w:numPr>
        <w:pStyle w:val="Compact"/>
      </w:pPr>
      <w:r>
        <w:t xml:space="preserve">Провести предпроектное радиообследование (моделирование + натурное) и по его результатам определить количество, места установки, модель ТД и антенн.</w:t>
      </w:r>
    </w:p>
    <w:p>
      <w:pPr>
        <w:numPr>
          <w:ilvl w:val="0"/>
          <w:numId w:val="1001"/>
        </w:numPr>
        <w:pStyle w:val="Compact"/>
      </w:pPr>
      <w:r>
        <w:t xml:space="preserve">Разработать проект ЛВС, СКС и Wi‑Fi (в объёме, достаточном для монтажа и согласования с заказчиком и смежными подрядчиками).</w:t>
      </w:r>
    </w:p>
    <w:p>
      <w:pPr>
        <w:numPr>
          <w:ilvl w:val="0"/>
          <w:numId w:val="1001"/>
        </w:numPr>
        <w:pStyle w:val="Compact"/>
      </w:pPr>
      <w:r>
        <w:t xml:space="preserve">Поставить материалы и оборудование (в согласованном с заказчиком объёме).</w:t>
      </w:r>
    </w:p>
    <w:p>
      <w:pPr>
        <w:numPr>
          <w:ilvl w:val="0"/>
          <w:numId w:val="1001"/>
        </w:numPr>
        <w:pStyle w:val="Compact"/>
      </w:pPr>
      <w:r>
        <w:t xml:space="preserve">Выполнить монтаж СКС, ВОЛС, ТШ, активного оборудования, ТД.</w:t>
      </w:r>
    </w:p>
    <w:p>
      <w:pPr>
        <w:numPr>
          <w:ilvl w:val="0"/>
          <w:numId w:val="1001"/>
        </w:numPr>
        <w:pStyle w:val="Compact"/>
      </w:pPr>
      <w:r>
        <w:t xml:space="preserve">Выполнить пусконаладку, интеграцию с существующей сетью и системой управления Wi‑Fi.</w:t>
      </w:r>
    </w:p>
    <w:p>
      <w:pPr>
        <w:numPr>
          <w:ilvl w:val="0"/>
          <w:numId w:val="1001"/>
        </w:numPr>
        <w:pStyle w:val="Compact"/>
      </w:pPr>
      <w:r>
        <w:t xml:space="preserve">Провести приёмочные испытания (сертификационное тестирование СКС и ВОЛС, приёмочное радиообследование, тесты роуминга ТСД).</w:t>
      </w:r>
    </w:p>
    <w:p>
      <w:pPr>
        <w:numPr>
          <w:ilvl w:val="0"/>
          <w:numId w:val="1001"/>
        </w:numPr>
        <w:pStyle w:val="Compact"/>
      </w:pPr>
      <w:r>
        <w:t xml:space="preserve">Передать исполнительную документацию и обучить персонал заказчика.</w:t>
      </w:r>
    </w:p>
    <w:p>
      <w:pPr>
        <w:pStyle w:val="FirstParagraph"/>
      </w:pPr>
      <w:r>
        <w:rPr>
          <w:bCs/>
          <w:b/>
        </w:rPr>
        <w:t xml:space="preserve">Критерии успеха:</w:t>
      </w:r>
    </w:p>
    <w:p>
      <w:pPr>
        <w:numPr>
          <w:ilvl w:val="0"/>
          <w:numId w:val="1002"/>
        </w:numPr>
        <w:pStyle w:val="Compact"/>
      </w:pPr>
      <w:r>
        <w:t xml:space="preserve">ТСД работают без обрывов сессий во всех рабочих зонах, включая проходы между заполненными стеллажами и зоны под/на мезонинах.</w:t>
      </w:r>
    </w:p>
    <w:p>
      <w:pPr>
        <w:numPr>
          <w:ilvl w:val="0"/>
          <w:numId w:val="1002"/>
        </w:numPr>
        <w:pStyle w:val="Compact"/>
      </w:pPr>
      <w:r>
        <w:t xml:space="preserve">Отказ одной оптической линии или одного узла агрегации не приводит к потере связи склада с серверной.</w:t>
      </w:r>
    </w:p>
    <w:p>
      <w:pPr>
        <w:numPr>
          <w:ilvl w:val="0"/>
          <w:numId w:val="1002"/>
        </w:numPr>
        <w:pStyle w:val="Compact"/>
      </w:pPr>
      <w:r>
        <w:t xml:space="preserve">Каждая медная линия СКС — не длиннее норматива (90 м постоянной линии, 100 м канала) и сертифицирована.</w:t>
      </w:r>
    </w:p>
    <w:p>
      <w:r>
        <w:pict>
          <v:rect style="width:0;height:1.5pt" o:hralign="center" o:hrstd="t" o:hr="t"/>
        </w:pict>
      </w:r>
    </w:p>
    <w:bookmarkEnd w:id="21"/>
    <w:bookmarkStart w:id="30" w:name="описание-объекта-по-исходным-чертежам"/>
    <w:p>
      <w:pPr>
        <w:pStyle w:val="Heading2"/>
      </w:pPr>
      <w:r>
        <w:t xml:space="preserve">3. Описание объекта (по исходным чертежам)</w:t>
      </w:r>
    </w:p>
    <w:bookmarkStart w:id="22" w:name="исходные-материалы"/>
    <w:p>
      <w:pPr>
        <w:pStyle w:val="Heading3"/>
      </w:pPr>
      <w:r>
        <w:t xml:space="preserve">3.1. Исходные материалы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содержит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Комплект 625‑26‑п‑КМ «Металлоконструкции мезонинов» (ПГС‑Инжиниринг, 07.2026), 8 листов, файл</w:t>
            </w:r>
            <w:r>
              <w:t xml:space="preserve"> </w:t>
            </w:r>
            <w:r>
              <w:rPr>
                <w:rStyle w:val="VerbatimChar"/>
              </w:rPr>
              <w:t xml:space="preserve">sklad-obshaya-shema.pdf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Общие данные, габариты и отметки мезонинов, схемы колонн, балок, лестниц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 расположения стеллажей Триовист, 22.04.2026, на подложке 11‑04/25‑1‑АР, файл</w:t>
            </w:r>
            <w:r>
              <w:t xml:space="preserve"> </w:t>
            </w:r>
            <w:r>
              <w:rPr>
                <w:rStyle w:val="VerbatimChar"/>
              </w:rPr>
              <w:t xml:space="preserve">triovist-frontalnye-22.04.2026-(1)-model-6.pdf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 корпуса в осях, мезонины, ряды стеллажей, экспликация помещений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Виды стеллажей Триовист, файл</w:t>
            </w:r>
            <w:r>
              <w:t xml:space="preserve"> </w:t>
            </w:r>
            <w:r>
              <w:rPr>
                <w:rStyle w:val="VerbatimChar"/>
              </w:rPr>
              <w:t xml:space="preserve">triovist-frontalnye-22.04.2026-(2)-model-3.pdf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Высоты рам, ярусы, нагрузки, спринклерная защита в стеллажах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Чертёж DWG</w:t>
            </w:r>
            <w:r>
              <w:t xml:space="preserve"> </w:t>
            </w:r>
            <w:r>
              <w:rPr>
                <w:rStyle w:val="VerbatimChar"/>
              </w:rPr>
              <w:t xml:space="preserve">triovist-frontalnye-22.04.2026-(1)(4).dwg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Исходник документов 2–3 (конвертирован; содержит те же данные)</w:t>
            </w:r>
          </w:p>
        </w:tc>
      </w:tr>
    </w:tbl>
    <w:p>
      <w:pPr>
        <w:pStyle w:val="BodyText"/>
      </w:pPr>
      <w:r>
        <w:t xml:space="preserve">Заказчик передаёт подрядчику исходные DWG/PDF.</w:t>
      </w:r>
      <w:r>
        <w:t xml:space="preserve"> </w:t>
      </w:r>
      <w:r>
        <w:rPr>
          <w:bCs/>
          <w:b/>
        </w:rPr>
        <w:t xml:space="preserve">Важно:</w:t>
      </w:r>
      <w:r>
        <w:t xml:space="preserve"> </w:t>
      </w:r>
      <w:r>
        <w:t xml:space="preserve">на плане стеллажей стоит пометка разработчика «Утвердить длину рядов стеллажей, габариты мезонинов и проездов между ними» и «План выполнен без учёта ПК и трубопроводов противопожарной системы» — т.е. раскладка стеллажей</w:t>
      </w:r>
      <w:r>
        <w:t xml:space="preserve"> </w:t>
      </w:r>
      <w:r>
        <w:rPr>
          <w:bCs/>
          <w:b/>
        </w:rPr>
        <w:t xml:space="preserve">не финальная</w:t>
      </w:r>
      <w:r>
        <w:t xml:space="preserve">. Подрядчик обязан работать по актуальной на момент проектирования версии и учесть возможные изменения.</w:t>
      </w:r>
    </w:p>
    <w:bookmarkEnd w:id="22"/>
    <w:bookmarkStart w:id="23" w:name="здание"/>
    <w:p>
      <w:pPr>
        <w:pStyle w:val="Heading3"/>
      </w:pPr>
      <w:r>
        <w:t xml:space="preserve">3.2. Здание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Габарит корпуса в осях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~96,5 м (оси 1–18) × 126 м (оси А–Ш)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 Триовист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Шаг колонн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м в обоих направлениях (крайние пролёты 2,0 и 4,5 м по осям 1–3)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 Триовист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Площадь помещения «Склад»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11 994,11 м², категория В1 / П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Экспликация помещений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Примыкание к существующему складу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оси 1 (слева на плане) — корпус пристроен вплотную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 Триовист (надпись «Сущ. склад»)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Отметка чистого пола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0,000 (абс. +268,50)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КМ, лист 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Высотная отметка над стеллажами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+13,200 (показана на видах стеллажей; зазор ~1 м над верхом рам)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Виды Триовист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Ворота / доки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доковых ворот вдоль торцевой стены у Мезонина 1 (ось Ш) и группа ворот у Мезонина 2 (ось 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 Триовист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Вспомогательные помещения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Санузлы, тамбуры, коридор, помещение обогрева,</w:t>
            </w:r>
            <w:r>
              <w:t xml:space="preserve"> </w:t>
            </w:r>
            <w:r>
              <w:rPr>
                <w:bCs/>
                <w:b/>
              </w:rPr>
              <w:t xml:space="preserve">электрощитовая (5,67 м², у Мезонина 2, торец у оси 18)</w:t>
            </w:r>
            <w:r>
              <w:t xml:space="preserve">, венткамера, площадки для курения, площадка для брака (150 м², у стены по оси 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Экспликация</w:t>
            </w:r>
          </w:p>
        </w:tc>
      </w:tr>
    </w:tbl>
    <w:p>
      <w:pPr>
        <w:pStyle w:val="BodyText"/>
      </w:pPr>
      <w:r>
        <w:rPr>
          <w:bCs/>
          <w:b/>
        </w:rPr>
        <w:t xml:space="preserve">[Допущение]</w:t>
      </w:r>
      <w:r>
        <w:t xml:space="preserve"> </w:t>
      </w:r>
      <w:r>
        <w:t xml:space="preserve">Отметка +13,200 трактуется как низ несущих конструкций покрытия/предельная высота; фактическая высота до низа ферм, расположение ферм, светильников, спринклерных магистралей и вентиляции — уточнить по разделам АР/КМ здания, ОВ, АУПТ, ЭО (не переданы).</w:t>
      </w:r>
      <w:r>
        <w:t xml:space="preserve"> </w:t>
      </w:r>
      <w:r>
        <w:rPr>
          <w:bCs/>
          <w:b/>
        </w:rPr>
        <w:t xml:space="preserve">[Вопрос 17.2]</w:t>
      </w:r>
    </w:p>
    <w:p>
      <w:pPr>
        <w:pStyle w:val="BodyText"/>
      </w:pPr>
      <w:r>
        <w:rPr>
          <w:bCs/>
          <w:b/>
        </w:rPr>
        <w:t xml:space="preserve">[Допущение]</w:t>
      </w:r>
      <w:r>
        <w:t xml:space="preserve"> </w:t>
      </w:r>
      <w:r>
        <w:t xml:space="preserve">Наличие отопления склада не установлено; наличие «помещения обогрева» может указывать на неотапливаемый/холодный склад. От этого зависят требования к исполнению оборудования и шкафов.</w:t>
      </w:r>
      <w:r>
        <w:t xml:space="preserve"> </w:t>
      </w:r>
      <w:r>
        <w:rPr>
          <w:bCs/>
          <w:b/>
        </w:rPr>
        <w:t xml:space="preserve">[Вопрос 17.3]</w:t>
      </w:r>
    </w:p>
    <w:bookmarkEnd w:id="23"/>
    <w:bookmarkStart w:id="24" w:name="мезонины"/>
    <w:p>
      <w:pPr>
        <w:pStyle w:val="Heading3"/>
      </w:pPr>
      <w:r>
        <w:t xml:space="preserve">3.3. Мезонины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Мезонин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Мезонин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Расположение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торцевой стены по оси Ш (верх плана), оси ~Х–Ш / 2–18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торцевой стены по оси А (низ плана), оси А–В(Г) / 2–18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(по плану Триовист)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«Платформа с надстройкой»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«Платформа 0+1»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Размер в плане по КМ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93,8 × 17,35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92,9 × 11,35 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Размер по плану Триовист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~87,45 × 16,86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~87,45 × 12,7 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Отметка пола мезонина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+4,000 (монолитная ж/б плита)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Низ балок (высота под мезонином)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+3,560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+3,560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Лестницы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 двух торцов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 двух торцов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Нормативная технологическая нагрузка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кН/м²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кН/м²</w:t>
            </w:r>
          </w:p>
        </w:tc>
      </w:tr>
    </w:tbl>
    <w:p>
      <w:pPr>
        <w:pStyle w:val="BodyText"/>
      </w:pPr>
      <w:r>
        <w:t xml:space="preserve">Размеры в КМ и на плане Триовист расходятся (разные стадии/подложки) — подрядчику использовать актуальный согласованный чертёж.</w:t>
      </w:r>
      <w:r>
        <w:t xml:space="preserve"> </w:t>
      </w:r>
      <w:r>
        <w:rPr>
          <w:bCs/>
          <w:b/>
        </w:rPr>
        <w:t xml:space="preserve">[Вопрос 17.2]</w:t>
      </w:r>
    </w:p>
    <w:p>
      <w:pPr>
        <w:pStyle w:val="BodyText"/>
      </w:pPr>
      <w:r>
        <w:t xml:space="preserve">Что находится на мезонинах и под ними (офисы, зоны комплектации, упаковки, сортировки), а также что входит в «надстройку» Мезонина 1 — по чертежам не определено.</w:t>
      </w:r>
      <w:r>
        <w:t xml:space="preserve"> </w:t>
      </w:r>
      <w:r>
        <w:rPr>
          <w:bCs/>
          <w:b/>
        </w:rPr>
        <w:t xml:space="preserve">[Вопрос 17.4]</w:t>
      </w:r>
    </w:p>
    <w:bookmarkEnd w:id="24"/>
    <w:bookmarkStart w:id="25" w:name="стеллажная-зона"/>
    <w:p>
      <w:pPr>
        <w:pStyle w:val="Heading3"/>
      </w:pPr>
      <w:r>
        <w:t xml:space="preserve">3.4. Стеллажная зона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Зона стеллажей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Между мезонинами, примерно оси Г–Ф (~84 м) по длине, оси 2–18 по ширине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 Триовист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Ориентация рядов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Ряды параллельны осям 1–18 (перпендикулярно мезонинам), две половины по ~39,95 м с проездными (арочными) секциями посередине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 Триовист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Состав рядов (ориентировочно)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одинарный ряд вдоль стены по оси 1; ~5 сдвоенных рядов с глубокими паллетоместами (проходы ~4,2–4,9 м); ~8 сдвоенных рядов под европаллеты (глубина ряда 2 × 1,1 м, проходы ~3,35 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 Триовист (подсчёт по чертежу, уточнить)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Высота рам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12 200 мм, до 6 ярусов, верхний уровень хранения ~+10,3…+10,9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Виды Триовист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Шаг секции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2 700 мм; нагрузка до 1 000 кг на паллету, до 3 000 кг на ярус, до 15 000 кг на раму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Виды Триовист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Особенности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Внутристеллажное спринклерное пожаротушение (балки-защиты спринклера, противопожарные экраны), сетчатые настилы, проездные секции и эвакуационные проходы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Виды Триовист</w:t>
            </w:r>
          </w:p>
        </w:tc>
      </w:tr>
    </w:tbl>
    <w:p>
      <w:pPr>
        <w:pStyle w:val="BodyText"/>
      </w:pPr>
      <w:r>
        <w:rPr>
          <w:bCs/>
          <w:b/>
        </w:rPr>
        <w:t xml:space="preserve">Значение для радио:</w:t>
      </w:r>
      <w:r>
        <w:t xml:space="preserve"> </w:t>
      </w:r>
      <w:r>
        <w:t xml:space="preserve">плотные металлические стеллажи высотой 12,2 м с паллетами создают «каньоны» — сигнал между соседними проходами сильно ослаблен, покрытие каждого прохода фактически нужно обеспечивать отдельно. Уровень затухания зависит от</w:t>
      </w:r>
      <w:r>
        <w:t xml:space="preserve"> </w:t>
      </w:r>
      <w:r>
        <w:rPr>
          <w:bCs/>
          <w:b/>
        </w:rPr>
        <w:t xml:space="preserve">товара</w:t>
      </w:r>
      <w:r>
        <w:t xml:space="preserve"> </w:t>
      </w:r>
      <w:r>
        <w:t xml:space="preserve">(жидкости, металл, фольгированная упаковка поглощают/отражают сигнал) и</w:t>
      </w:r>
      <w:r>
        <w:t xml:space="preserve"> </w:t>
      </w:r>
      <w:r>
        <w:rPr>
          <w:bCs/>
          <w:b/>
        </w:rPr>
        <w:t xml:space="preserve">заполненности стеллажей</w:t>
      </w:r>
      <w:r>
        <w:t xml:space="preserve">.</w:t>
      </w:r>
      <w:r>
        <w:t xml:space="preserve"> </w:t>
      </w:r>
      <w:r>
        <w:rPr>
          <w:bCs/>
          <w:b/>
        </w:rPr>
        <w:t xml:space="preserve">[Вопрос 17.5]</w:t>
      </w:r>
    </w:p>
    <w:bookmarkEnd w:id="25"/>
    <w:bookmarkStart w:id="29" w:name="эскиз-размещения-шкафов-и-трасс"/>
    <w:p>
      <w:pPr>
        <w:pStyle w:val="Heading3"/>
      </w:pPr>
      <w:r>
        <w:t xml:space="preserve">3.5. Эскиз размещения шкафов и трасс</w:t>
      </w:r>
    </w:p>
    <w:p>
      <w:pPr>
        <w:pStyle w:val="CaptionedFigure"/>
      </w:pPr>
      <w:r>
        <w:drawing>
          <wp:inline>
            <wp:extent cx="5334000" cy="8079441"/>
            <wp:effectExtent b="0" l="0" r="0" t="0"/>
            <wp:docPr descr="Эскиз размещения ТШ и трасс ВОЛС на плане стеллажей (условно, не проект)" title="" id="27" name="Picture"/>
            <a:graphic>
              <a:graphicData uri="http://schemas.openxmlformats.org/drawingml/2006/picture">
                <pic:pic>
                  <pic:nvPicPr>
                    <pic:cNvPr descr="../media/eskiz-shkafy-trassy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79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Эскиз размещения ТШ и трасс ВОЛС на плане стеллажей (условно, не проект)</w:t>
      </w:r>
    </w:p>
    <w:p>
      <w:pPr>
        <w:pStyle w:val="BodyText"/>
      </w:pPr>
      <w:r>
        <w:t xml:space="preserve">Файл:</w:t>
      </w:r>
      <w:r>
        <w:t xml:space="preserve"> </w:t>
      </w:r>
      <w:r>
        <w:rPr>
          <w:rStyle w:val="VerbatimChar"/>
        </w:rPr>
        <w:t xml:space="preserve">media/eskiz-shkafy-trassy.png</w:t>
      </w:r>
      <w:r>
        <w:t xml:space="preserve">. Эскиз иллюстрирует вводные заказчика и проблему длины медных линий; он</w:t>
      </w:r>
      <w:r>
        <w:t xml:space="preserve"> </w:t>
      </w:r>
      <w:r>
        <w:rPr>
          <w:bCs/>
          <w:b/>
        </w:rPr>
        <w:t xml:space="preserve">не является проектным решением</w:t>
      </w:r>
      <w:r>
        <w:t xml:space="preserve">.</w:t>
      </w:r>
    </w:p>
    <w:p>
      <w:pPr>
        <w:pStyle w:val="BodyText"/>
      </w:pPr>
      <w:r>
        <w:t xml:space="preserve">Оценка по эскизу: при размещении ТШ‑1 и ТШ‑2 примерно посередине длины мезонинов и допущении «≈75 м по горизонтали + ≈15 м на подъём от пола мезонина (+4,0) к лоткам под покрытием, спуск к ТД и запас» центральная часть стеллажной зоны у стен по осям 1 и 18 (красные зоны)</w:t>
      </w:r>
      <w:r>
        <w:t xml:space="preserve"> </w:t>
      </w:r>
      <w:r>
        <w:rPr>
          <w:bCs/>
          <w:b/>
        </w:rPr>
        <w:t xml:space="preserve">не достигается медной линией 90 м</w:t>
      </w:r>
      <w:r>
        <w:t xml:space="preserve">. Значит, для точек доступа в средней части склада потребуются дополнительные ТШ (например, ТШ‑3/ТШ‑4 у стен по осям 1 и 18) или иное решение — подрядчик обязан обосновать (см. п. 6.4).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границы-работ"/>
    <w:p>
      <w:pPr>
        <w:pStyle w:val="Heading2"/>
      </w:pPr>
      <w:r>
        <w:t xml:space="preserve">4. Границы работ</w:t>
      </w:r>
    </w:p>
    <w:bookmarkStart w:id="31" w:name="входит-в-объём-подрядчика"/>
    <w:p>
      <w:pPr>
        <w:pStyle w:val="Heading3"/>
      </w:pPr>
      <w:r>
        <w:t xml:space="preserve">4.1. Входит в объём подрядчика</w:t>
      </w:r>
    </w:p>
    <w:p>
      <w:pPr>
        <w:numPr>
          <w:ilvl w:val="0"/>
          <w:numId w:val="1003"/>
        </w:numPr>
        <w:pStyle w:val="Compact"/>
      </w:pPr>
      <w:r>
        <w:t xml:space="preserve">Предпроектное радиообследование (моделирование и натурное) — раздел 9.</w:t>
      </w:r>
    </w:p>
    <w:p>
      <w:pPr>
        <w:numPr>
          <w:ilvl w:val="0"/>
          <w:numId w:val="1003"/>
        </w:numPr>
        <w:pStyle w:val="Compact"/>
      </w:pPr>
      <w:r>
        <w:t xml:space="preserve">Проектирование ЛВС, СКС, Wi‑Fi, кабеленесущих систем. По электропитанию ТШ подрядчик</w:t>
      </w:r>
      <w:r>
        <w:t xml:space="preserve"> </w:t>
      </w:r>
      <w:r>
        <w:rPr>
          <w:bCs/>
          <w:b/>
        </w:rPr>
        <w:t xml:space="preserve">выдаёт задание на смежный раздел</w:t>
      </w:r>
      <w:r>
        <w:t xml:space="preserve"> </w:t>
      </w:r>
      <w:r>
        <w:t xml:space="preserve">(электрические нагрузки ТШ, количество и места линий 230 В, требования к заземлению) ведущему инженеру проекта (ГИП); прокладку линий питания до ТШ выполняет электромонтажная организация по проекту электроснабжения, если заказчик не решит иначе.</w:t>
      </w:r>
    </w:p>
    <w:p>
      <w:pPr>
        <w:numPr>
          <w:ilvl w:val="0"/>
          <w:numId w:val="1003"/>
        </w:numPr>
        <w:pStyle w:val="Compact"/>
      </w:pPr>
      <w:r>
        <w:t xml:space="preserve">Две независимые ВОЛС от серверной существующего склада до ТШ‑1 и ТШ‑2 и ВОЛС ТШ‑1 ↔ ТШ‑2 (кольцо), включая проходки через стену между корпусами с восстановлением предела огнестойкости.</w:t>
      </w:r>
    </w:p>
    <w:p>
      <w:pPr>
        <w:numPr>
          <w:ilvl w:val="0"/>
          <w:numId w:val="1003"/>
        </w:numPr>
        <w:pStyle w:val="Compact"/>
      </w:pPr>
      <w:r>
        <w:t xml:space="preserve">Кабеленесущие системы (лотки, трубы, крепёж) для трасс ЛВС в новом корпусе и в существующем здании до серверной.</w:t>
      </w:r>
    </w:p>
    <w:p>
      <w:pPr>
        <w:numPr>
          <w:ilvl w:val="0"/>
          <w:numId w:val="1003"/>
        </w:numPr>
        <w:pStyle w:val="Compact"/>
      </w:pPr>
      <w:r>
        <w:t xml:space="preserve">Поставка и монтаж ТШ, коммутационного оборудования (патч-панели, оптические кроссы, органайзеры), ИБП, систем заземления ТШ.</w:t>
      </w:r>
    </w:p>
    <w:p>
      <w:pPr>
        <w:numPr>
          <w:ilvl w:val="0"/>
          <w:numId w:val="1003"/>
        </w:numPr>
        <w:pStyle w:val="Compact"/>
      </w:pPr>
      <w:r>
        <w:t xml:space="preserve">Медные линии СКС: рабочие места на мезонинах (40 шт.), ТД, резервные/прочие точки по согласованному перечню.</w:t>
      </w:r>
    </w:p>
    <w:p>
      <w:pPr>
        <w:numPr>
          <w:ilvl w:val="0"/>
          <w:numId w:val="1003"/>
        </w:numPr>
        <w:pStyle w:val="Compact"/>
      </w:pPr>
      <w:r>
        <w:t xml:space="preserve">Поставка (см. 4.3), монтаж и настройка коммутаторов Huawei и ТД Huawei; подключение ТД к существующему контроллеру Wi‑Fi на коммутаторе ядра основного склада (настройка профилей, SSID, радиопараметров, лицензий ТД).</w:t>
      </w:r>
    </w:p>
    <w:p>
      <w:pPr>
        <w:numPr>
          <w:ilvl w:val="0"/>
          <w:numId w:val="1003"/>
        </w:numPr>
        <w:pStyle w:val="Compact"/>
      </w:pPr>
      <w:r>
        <w:t xml:space="preserve">Интеграция с существующей ЛВС (ядро, VLAN, маршрутизация, аутентификация, мониторинг) по согласованию с ИТ заказчика.</w:t>
      </w:r>
    </w:p>
    <w:p>
      <w:pPr>
        <w:numPr>
          <w:ilvl w:val="0"/>
          <w:numId w:val="1003"/>
        </w:numPr>
        <w:pStyle w:val="Compact"/>
      </w:pPr>
      <w:r>
        <w:t xml:space="preserve">Испытания и приёмка: сертификация СКС и ВОЛС, приёмочное радиообследование, тест роуминга ТСД.</w:t>
      </w:r>
    </w:p>
    <w:p>
      <w:pPr>
        <w:numPr>
          <w:ilvl w:val="0"/>
          <w:numId w:val="1003"/>
        </w:numPr>
        <w:pStyle w:val="Compact"/>
      </w:pPr>
      <w:r>
        <w:t xml:space="preserve">Исполнительная документация, обучение, гарантийное обслуживание.</w:t>
      </w:r>
    </w:p>
    <w:p>
      <w:pPr>
        <w:numPr>
          <w:ilvl w:val="0"/>
          <w:numId w:val="1003"/>
        </w:numPr>
        <w:pStyle w:val="Compact"/>
      </w:pPr>
      <w:r>
        <w:t xml:space="preserve">Вывоз строительного мусора и упаковки, уборка зон работ.</w:t>
      </w:r>
    </w:p>
    <w:p>
      <w:pPr>
        <w:numPr>
          <w:ilvl w:val="0"/>
          <w:numId w:val="1003"/>
        </w:numPr>
        <w:pStyle w:val="Compact"/>
      </w:pPr>
      <w:r>
        <w:t xml:space="preserve">Средства подмащивания и подъёмники для работ на высоте до ~13 м (включить в КП или указать как обязательство заказчика).</w:t>
      </w:r>
    </w:p>
    <w:bookmarkEnd w:id="31"/>
    <w:bookmarkStart w:id="32" w:name="Xe33af2c8e3807dfe63d8ea3a6f1949ec8c7e15a"/>
    <w:p>
      <w:pPr>
        <w:pStyle w:val="Heading3"/>
      </w:pPr>
      <w:r>
        <w:t xml:space="preserve">4.2. Не входит в объём (если не заказано отдельно)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Видеонаблюдение и СКУД — полностью вне объёма</w:t>
      </w:r>
      <w:r>
        <w:t xml:space="preserve"> </w:t>
      </w:r>
      <w:r>
        <w:t xml:space="preserve">(проектируются заказчиком отдельно). Подрядчик ЛВС только закладывает резерв ёмкости лотков (п. 6.5) и не занимает трассы, которые понадобятся этим системам, без согласования.</w:t>
      </w:r>
    </w:p>
    <w:p>
      <w:pPr>
        <w:numPr>
          <w:ilvl w:val="0"/>
          <w:numId w:val="1004"/>
        </w:numPr>
        <w:pStyle w:val="Compact"/>
      </w:pPr>
      <w:r>
        <w:t xml:space="preserve">Охранная и пожарная сигнализация, IP‑телефония — вне объёма; при необходимости — опциональные линии по цене за единицу (п. 16).</w:t>
      </w:r>
    </w:p>
    <w:p>
      <w:pPr>
        <w:numPr>
          <w:ilvl w:val="0"/>
          <w:numId w:val="1004"/>
        </w:numPr>
        <w:pStyle w:val="Compact"/>
      </w:pPr>
      <w:r>
        <w:t xml:space="preserve">Монтаж силовых распределительных сетей здания (кроме линий питания ТШ — по согласованию).</w:t>
      </w:r>
    </w:p>
    <w:p>
      <w:pPr>
        <w:numPr>
          <w:ilvl w:val="0"/>
          <w:numId w:val="1004"/>
        </w:numPr>
        <w:pStyle w:val="Compact"/>
      </w:pPr>
      <w:r>
        <w:t xml:space="preserve">Поставка ТСД, ПК, принтеров.</w:t>
      </w:r>
    </w:p>
    <w:p>
      <w:pPr>
        <w:numPr>
          <w:ilvl w:val="0"/>
          <w:numId w:val="1004"/>
        </w:numPr>
        <w:pStyle w:val="Compact"/>
      </w:pPr>
      <w:r>
        <w:t xml:space="preserve">Изменения в существующей серверной сверх подключения новых ВОЛС (при необходимости — отдельной позицией).</w:t>
      </w:r>
    </w:p>
    <w:bookmarkEnd w:id="32"/>
    <w:bookmarkStart w:id="33" w:name="варианты-поставки-оборудования"/>
    <w:p>
      <w:pPr>
        <w:pStyle w:val="Heading3"/>
      </w:pPr>
      <w:r>
        <w:t xml:space="preserve">4.3. Варианты поставки оборудования</w:t>
      </w:r>
    </w:p>
    <w:p>
      <w:pPr>
        <w:pStyle w:val="FirstParagraph"/>
      </w:pPr>
      <w:r>
        <w:t xml:space="preserve">Подрядчик указывает в КП раздельно:</w:t>
      </w:r>
    </w:p>
    <w:p>
      <w:pPr>
        <w:numPr>
          <w:ilvl w:val="0"/>
          <w:numId w:val="1005"/>
        </w:numPr>
        <w:pStyle w:val="Compact"/>
      </w:pPr>
      <w:r>
        <w:t xml:space="preserve">(а) СКС и пассивная часть — поставка подрядчиком;</w:t>
      </w:r>
    </w:p>
    <w:p>
      <w:pPr>
        <w:numPr>
          <w:ilvl w:val="0"/>
          <w:numId w:val="1005"/>
        </w:numPr>
        <w:pStyle w:val="Compact"/>
      </w:pPr>
      <w:r>
        <w:t xml:space="preserve">(б) активное оборудование</w:t>
      </w:r>
      <w:r>
        <w:t xml:space="preserve"> </w:t>
      </w:r>
      <w:r>
        <w:rPr>
          <w:bCs/>
          <w:b/>
        </w:rPr>
        <w:t xml:space="preserve">Huawei</w:t>
      </w:r>
      <w:r>
        <w:t xml:space="preserve"> </w:t>
      </w:r>
      <w:r>
        <w:t xml:space="preserve">(коммутаторы, ТД, оптические модули, лицензии ТД на существующем контроллере) — поставка подрядчиком</w:t>
      </w:r>
      <w:r>
        <w:t xml:space="preserve"> </w:t>
      </w:r>
      <w:r>
        <w:rPr>
          <w:bCs/>
          <w:b/>
        </w:rPr>
        <w:t xml:space="preserve">или</w:t>
      </w:r>
      <w:r>
        <w:t xml:space="preserve"> </w:t>
      </w:r>
      <w:r>
        <w:t xml:space="preserve">поставка заказчиком с монтажом/настройкой силами подрядчика.</w:t>
      </w:r>
    </w:p>
    <w:p>
      <w:pPr>
        <w:pStyle w:val="FirstParagraph"/>
      </w:pPr>
      <w:r>
        <w:t xml:space="preserve">Решение по варианту (б) — за заказчиком (КП дать в обоих вариантах). Оборудование других производителей для активной части не допускается. Выбор производителя пассивной СКС (кабель, панели, кроссы) — за подрядчиком, с обоснованием.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общие-требования-и-нормативная-база"/>
    <w:p>
      <w:pPr>
        <w:pStyle w:val="Heading2"/>
      </w:pPr>
      <w:r>
        <w:t xml:space="preserve">5. Общие требования и нормативная база</w:t>
      </w:r>
    </w:p>
    <w:p>
      <w:pPr>
        <w:numPr>
          <w:ilvl w:val="0"/>
          <w:numId w:val="1006"/>
        </w:numPr>
        <w:pStyle w:val="Compact"/>
      </w:pPr>
      <w:r>
        <w:t xml:space="preserve">Работы выполнять в соответствии с действующими ТНПА Республики Беларусь (ТКП, СТБ, ПУЭ, требования пожарной безопасности) и международными стандартами на СКС: ISO/IEC 11801‑1, ISO/IEC 14763‑2 (проектирование и монтаж), IEC 61935‑1 (тестирование медных линий), ISO/IEC 14763‑3 (тестирование оптики), ANSI/TIA‑568.2‑D / 568.3‑D, ANSI/TIA‑606 (маркировка), ANSI/TIA‑607 (заземление) — в части, не противоречащей ТНПА РБ.</w:t>
      </w:r>
    </w:p>
    <w:p>
      <w:pPr>
        <w:numPr>
          <w:ilvl w:val="0"/>
          <w:numId w:val="1006"/>
        </w:numPr>
        <w:pStyle w:val="Compact"/>
      </w:pPr>
      <w:r>
        <w:t xml:space="preserve">Оборудование и материалы — новые, с документами о соответствии требованиям ЕАЭС / ТНПА РБ (в т.ч. ТР ТС 020/2011 для радиоэлектронного оборудования), с официальной гарантией производителя в РБ.</w:t>
      </w:r>
    </w:p>
    <w:p>
      <w:pPr>
        <w:numPr>
          <w:ilvl w:val="0"/>
          <w:numId w:val="1006"/>
        </w:numPr>
        <w:pStyle w:val="Compact"/>
      </w:pPr>
      <w:r>
        <w:t xml:space="preserve">Радиооборудование — с допуском к применению в РБ; частотные каналы и мощность — в пределах, разрешённых в РБ. Подрядчик подтверждает допустимость использования диапазона 6 ГГц в РБ либо проектирует без него.</w:t>
      </w:r>
    </w:p>
    <w:p>
      <w:pPr>
        <w:numPr>
          <w:ilvl w:val="0"/>
          <w:numId w:val="1006"/>
        </w:numPr>
        <w:pStyle w:val="Compact"/>
      </w:pPr>
      <w:r>
        <w:t xml:space="preserve">Кабельная продукция внутри здания — не распространяющая горение, с низким дымо- и газовыделением (исполнение LSZH / нг(А)‑HF или эквивалент по ТНПА РБ).</w:t>
      </w:r>
    </w:p>
    <w:p>
      <w:pPr>
        <w:numPr>
          <w:ilvl w:val="0"/>
          <w:numId w:val="1006"/>
        </w:numPr>
        <w:pStyle w:val="Compact"/>
      </w:pPr>
      <w:r>
        <w:t xml:space="preserve">Работы на высоте — персоналом с допуском, с оформлением нарядов-допусков; согласование графика с генподрядчиком и монтажником стеллажей.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Запрещено</w:t>
      </w:r>
      <w:r>
        <w:t xml:space="preserve"> </w:t>
      </w:r>
      <w:r>
        <w:t xml:space="preserve">сверлить, варить и крепить что-либо к стеллажам без письменного согласования с поставщиком стеллажей (Триовист) и заказчиком; крепления к металлоконструкциям мезонинов и здания — по согласованию с проектировщиком КМ/генподрядчиком.</w:t>
      </w:r>
    </w:p>
    <w:p>
      <w:pPr>
        <w:numPr>
          <w:ilvl w:val="0"/>
          <w:numId w:val="1006"/>
        </w:numPr>
        <w:pStyle w:val="Compact"/>
      </w:pPr>
      <w:r>
        <w:t xml:space="preserve">Трассы и места установки ТД согласовываются со смежными системами: спринклерное пожаротушение (в т.ч. внутристеллажное), освещение, вентиляция, зоны работы погрузчиков, эвакуационные пути.</w:t>
      </w:r>
    </w:p>
    <w:p>
      <w:r>
        <w:pict>
          <v:rect style="width:0;height:1.5pt" o:hralign="center" o:hrstd="t" o:hr="t"/>
        </w:pict>
      </w:r>
    </w:p>
    <w:bookmarkEnd w:id="35"/>
    <w:bookmarkStart w:id="42" w:name="требования-к-скс"/>
    <w:p>
      <w:pPr>
        <w:pStyle w:val="Heading2"/>
      </w:pPr>
      <w:r>
        <w:t xml:space="preserve">6. Требования к СКС</w:t>
      </w:r>
    </w:p>
    <w:bookmarkStart w:id="36" w:name="топология"/>
    <w:p>
      <w:pPr>
        <w:pStyle w:val="Heading3"/>
      </w:pPr>
      <w:r>
        <w:t xml:space="preserve">6.1. Топология</w:t>
      </w:r>
    </w:p>
    <w:p>
      <w:pPr>
        <w:numPr>
          <w:ilvl w:val="0"/>
          <w:numId w:val="1007"/>
        </w:numPr>
        <w:pStyle w:val="Compact"/>
      </w:pPr>
      <w:r>
        <w:t xml:space="preserve">Иерархическая звезда: серверная существующего склада (ядро) → ТШ нового корпуса (узлы доступа/агрегации) → абонентские линии.</w:t>
      </w:r>
    </w:p>
    <w:p>
      <w:pPr>
        <w:numPr>
          <w:ilvl w:val="0"/>
          <w:numId w:val="1007"/>
        </w:numPr>
        <w:pStyle w:val="Compact"/>
      </w:pPr>
      <w:r>
        <w:t xml:space="preserve">Минимум два ТШ:</w:t>
      </w:r>
      <w:r>
        <w:t xml:space="preserve"> </w:t>
      </w:r>
      <w:r>
        <w:rPr>
          <w:bCs/>
          <w:b/>
        </w:rPr>
        <w:t xml:space="preserve">ТШ‑1 на Мезонине 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ТШ‑2 на Мезонине 2</w:t>
      </w:r>
      <w:r>
        <w:t xml:space="preserve">. Размещение по длине мезонина выбрать так, чтобы все рабочие места на мезонине и максимум ТД укладывались в норматив длины (ориентир — середина мезонина). Окончательно — по проекту.</w:t>
      </w:r>
    </w:p>
    <w:p>
      <w:pPr>
        <w:numPr>
          <w:ilvl w:val="0"/>
          <w:numId w:val="1007"/>
        </w:numPr>
        <w:pStyle w:val="Compact"/>
      </w:pPr>
      <w:r>
        <w:t xml:space="preserve">Необходимость дополнительных ТШ (ТШ‑3, ТШ‑4 и т.д.) подрядчик</w:t>
      </w:r>
      <w:r>
        <w:t xml:space="preserve"> </w:t>
      </w:r>
      <w:r>
        <w:rPr>
          <w:bCs/>
          <w:b/>
        </w:rPr>
        <w:t xml:space="preserve">обязан обосновать</w:t>
      </w:r>
      <w:r>
        <w:t xml:space="preserve"> </w:t>
      </w:r>
      <w:r>
        <w:t xml:space="preserve">расчётом длин линий по реальным трассам (с учётом подъёма к лоткам под покрытием и спусков), см. п. 6.4.</w:t>
      </w:r>
    </w:p>
    <w:bookmarkEnd w:id="36"/>
    <w:bookmarkStart w:id="37" w:name="магистральная-оптика-волс"/>
    <w:p>
      <w:pPr>
        <w:pStyle w:val="Heading3"/>
      </w:pPr>
      <w:r>
        <w:t xml:space="preserve">6.2. Магистральная оптика (ВОЛС)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Линия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Откуда → куда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ВОЛС‑1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Серверная существующего склада → ТШ‑1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Одномодовое волокно OS2,</w:t>
            </w:r>
            <w:r>
              <w:t xml:space="preserve"> </w:t>
            </w:r>
            <w:r>
              <w:rPr>
                <w:bCs/>
                <w:b/>
              </w:rPr>
              <w:t xml:space="preserve">12 волокон</w:t>
            </w:r>
            <w:r>
              <w:t xml:space="preserve">; своя трасса и своя проходка в стене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ВОЛС‑2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Серверная существующего склада → ТШ‑2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OS2,</w:t>
            </w:r>
            <w:r>
              <w:t xml:space="preserve"> </w:t>
            </w:r>
            <w:r>
              <w:rPr>
                <w:bCs/>
                <w:b/>
              </w:rPr>
              <w:t xml:space="preserve">12 волокон</w:t>
            </w:r>
            <w:r>
              <w:t xml:space="preserve">; трасса и проходка</w:t>
            </w:r>
            <w:r>
              <w:t xml:space="preserve"> </w:t>
            </w:r>
            <w:r>
              <w:rPr>
                <w:bCs/>
                <w:b/>
              </w:rPr>
              <w:t xml:space="preserve">физически разнесены</w:t>
            </w:r>
            <w:r>
              <w:t xml:space="preserve"> </w:t>
            </w:r>
            <w:r>
              <w:t xml:space="preserve">с ВОЛС‑1 (разные лотки, разные проходки, по возможности с разных сторон серверной)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ВОЛС‑3 (кольцо)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ТШ‑1 ↔ ТШ‑2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OS2,</w:t>
            </w:r>
            <w:r>
              <w:t xml:space="preserve"> </w:t>
            </w:r>
            <w:r>
              <w:rPr>
                <w:bCs/>
                <w:b/>
              </w:rPr>
              <w:t xml:space="preserve">12 волокон</w:t>
            </w:r>
            <w:r>
              <w:t xml:space="preserve">; трасса не должна совпадать с ВОЛС‑1/ВОЛС‑2 (например, вдоль стены по оси 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ВОЛС к доп. ТШ (если будут)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ТШ‑1/ТШ‑2 → ТШ‑3/ТШ‑4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OS2, 8–12 волокон; двойное подключение каждого доп. ТШ (к ТШ‑1 и ТШ‑2)</w:t>
            </w:r>
          </w:p>
        </w:tc>
      </w:tr>
    </w:tbl>
    <w:p>
      <w:pPr>
        <w:pStyle w:val="BodyText"/>
      </w:pPr>
      <w:r>
        <w:rPr>
          <w:bCs/>
          <w:b/>
        </w:rPr>
        <w:t xml:space="preserve">Итого минимум: 3 оптических кабеля по 12 волокон OS2</w:t>
      </w:r>
      <w:r>
        <w:t xml:space="preserve"> </w:t>
      </w:r>
      <w:r>
        <w:t xml:space="preserve">(2 из серверной + 1 кольцевой), плюс по 2 кабеля на каждый дополнительный ТШ, если он потребуется.</w:t>
      </w:r>
    </w:p>
    <w:p>
      <w:pPr>
        <w:pStyle w:val="BodyText"/>
      </w:pPr>
      <w:r>
        <w:t xml:space="preserve">Обоснование ёмкости: один канал 10 Гбит/с занимает 2 волокна. В каждый ТШ заводятся 2 канала (к двум коммутаторам ядра или агрегированный LAG) — это 4 волокна. Ещё 4 волокна нужны для транзита к возможным ТШ‑3/ТШ‑4 или для расширения, 4 остаются резервом на повреждение. Разница в цене между 8 и 12 волокнами невелика, а дотянуть кабель позже намного дороже. Подрядчик вправе обосновать большую ёмкость (16–24 волокна).</w:t>
      </w:r>
    </w:p>
    <w:p>
      <w:pPr>
        <w:pStyle w:val="BodyText"/>
      </w:pPr>
      <w:r>
        <w:t xml:space="preserve">Дополнительно:</w:t>
      </w:r>
    </w:p>
    <w:p>
      <w:pPr>
        <w:numPr>
          <w:ilvl w:val="0"/>
          <w:numId w:val="1008"/>
        </w:numPr>
        <w:pStyle w:val="Compact"/>
      </w:pPr>
      <w:r>
        <w:t xml:space="preserve">Тип кабеля — для внутренней прокладки (или универсальный in/outdoor), LSZH, с защитой от грызунов при прокладке в зонах риска; при прокладке по наружной стене/между зданиями вне помещения — кабель соответствующего исполнения.</w:t>
      </w:r>
    </w:p>
    <w:p>
      <w:pPr>
        <w:numPr>
          <w:ilvl w:val="0"/>
          <w:numId w:val="1008"/>
        </w:numPr>
        <w:pStyle w:val="Compact"/>
      </w:pPr>
      <w:r>
        <w:t xml:space="preserve">Оконцевание — сварка пигтейлов в оптических кроссах 19”, разъёмы</w:t>
      </w:r>
      <w:r>
        <w:t xml:space="preserve"> </w:t>
      </w:r>
      <w:r>
        <w:rPr>
          <w:bCs/>
          <w:b/>
        </w:rPr>
        <w:t xml:space="preserve">LC/UPC</w:t>
      </w:r>
      <w:r>
        <w:t xml:space="preserve"> </w:t>
      </w:r>
      <w:r>
        <w:rPr>
          <w:bCs/>
          <w:b/>
        </w:rPr>
        <w:t xml:space="preserve">[Допущение — сверить с оптическими кроссами и модулями существующего ядра Huawei, Вопрос 17.7]</w:t>
      </w:r>
      <w:r>
        <w:t xml:space="preserve">; запас кабеля в ТШ и в серверной не менее 3–5 м.</w:t>
      </w:r>
    </w:p>
    <w:p>
      <w:pPr>
        <w:numPr>
          <w:ilvl w:val="0"/>
          <w:numId w:val="1008"/>
        </w:numPr>
        <w:pStyle w:val="Compact"/>
      </w:pPr>
      <w:r>
        <w:t xml:space="preserve">Трассы — в лотках/трубах, отдельно от силовых кабелей; радиус изгиба — по паспорту кабеля.</w:t>
      </w:r>
    </w:p>
    <w:p>
      <w:pPr>
        <w:numPr>
          <w:ilvl w:val="0"/>
          <w:numId w:val="1008"/>
        </w:numPr>
        <w:pStyle w:val="Compact"/>
      </w:pPr>
      <w:r>
        <w:t xml:space="preserve">Проходки через стену между корпусами (заказчик подтверждает, что сверление допустимо) — в гильзах с заделкой сертифицированными огнезащитными материалами с пределом огнестойкости не ниже, чем у стены (</w:t>
      </w:r>
      <w:r>
        <w:rPr>
          <w:bCs/>
          <w:b/>
        </w:rPr>
        <w:t xml:space="preserve">[Вопрос 17.10]</w:t>
      </w:r>
      <w:r>
        <w:t xml:space="preserve">: является ли стена противопожарной).</w:t>
      </w:r>
    </w:p>
    <w:p>
      <w:pPr>
        <w:numPr>
          <w:ilvl w:val="0"/>
          <w:numId w:val="1008"/>
        </w:numPr>
        <w:pStyle w:val="Compact"/>
      </w:pPr>
      <w:r>
        <w:t xml:space="preserve">Серверная находится в основном складе, к которому примыкает новый корпус. Точное место серверной, длину трасс и наличие лотков в основном складе подрядчик определяет при обследовании объекта (этап 1).</w:t>
      </w:r>
    </w:p>
    <w:bookmarkEnd w:id="37"/>
    <w:bookmarkStart w:id="38" w:name="медная-горизонтальная-подсистема"/>
    <w:p>
      <w:pPr>
        <w:pStyle w:val="Heading3"/>
      </w:pPr>
      <w:r>
        <w:t xml:space="preserve">6.3. Медная горизонтальная подсистема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Категория для ТД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Cat.6A</w:t>
            </w:r>
            <w:r>
              <w:t xml:space="preserve"> </w:t>
            </w:r>
            <w:r>
              <w:t xml:space="preserve">(класс EA), экранированная (F/UTP или U/FTP) — под multigigabit (2,5/5 Гбит/с) для ТД Wi‑Fi 6/6E/7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Категория для рабочих мест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ниже Cat.6 (класс E); допускается Cat.6A единой системой — указать цену обоих вариантов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Экранирование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Единое решение для всей системы (экран — с заземлением через ТШ)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Длина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Постоянная линия ≤ 90 м, канал ≤ 100 м. Линии длиннее — недопустимы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Исполнение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LSZH / нг(А)-HF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Производитель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Единая система одного производителя (кабель, модули, панели, шнуры) с возможностью получения системной гарантии производителя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Рабочие места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До 20 на каждом мезонине (до 40 всего) — предварительно, с запасом</w:t>
            </w:r>
            <w:r>
              <w:t xml:space="preserve">; фактическое количество, скорее всего, будет заметно меньше и уточняется после планировки мезонинов. КП считать на 20 + 20,</w:t>
            </w:r>
            <w:r>
              <w:t xml:space="preserve"> </w:t>
            </w:r>
            <w:r>
              <w:rPr>
                <w:bCs/>
                <w:b/>
              </w:rPr>
              <w:t xml:space="preserve">с ценой за одно рабочее место</w:t>
            </w:r>
            <w:r>
              <w:t xml:space="preserve">, чтобы итог можно было пересчитать.</w:t>
            </w:r>
            <w:r>
              <w:t xml:space="preserve"> </w:t>
            </w:r>
            <w:r>
              <w:rPr>
                <w:bCs/>
                <w:b/>
              </w:rPr>
              <w:t xml:space="preserve">[Допущение]</w:t>
            </w:r>
            <w:r>
              <w:t xml:space="preserve"> </w:t>
            </w:r>
            <w:r>
              <w:t xml:space="preserve">по 2 порта RJ45 на рабочее место; тип розеток —</w:t>
            </w:r>
            <w:r>
              <w:t xml:space="preserve"> </w:t>
            </w:r>
            <w:r>
              <w:rPr>
                <w:bCs/>
                <w:b/>
              </w:rPr>
              <w:t xml:space="preserve">[Вопрос 17.4]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Одна линия на ТД</w:t>
            </w:r>
            <w:r>
              <w:t xml:space="preserve"> </w:t>
            </w:r>
            <w:r>
              <w:rPr>
                <w:bCs/>
                <w:b/>
              </w:rPr>
              <w:t xml:space="preserve">[Допущение; для ТД с двумя uplink — 2 линии]</w:t>
            </w:r>
            <w:r>
              <w:t xml:space="preserve">, оконцевание у ТД — розетка/коннектор полевой заделки в защитной коробке; патч-корд до ТД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Резерв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менее 20% свободных портов на патч-панелях и 20% запаса ёмкости лотков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Прочие точки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Принтеры этикеток, стационарные сканеры, доковые рабочие места, зарядные станции ТСД с Ethernet — по перечню заказчика</w:t>
            </w:r>
            <w:r>
              <w:t xml:space="preserve"> </w:t>
            </w:r>
            <w:r>
              <w:rPr>
                <w:bCs/>
                <w:b/>
              </w:rPr>
              <w:t xml:space="preserve">[Вопрос 17.6]</w:t>
            </w:r>
            <w:r>
              <w:t xml:space="preserve">; в КП — цена за единицу линии. Камеры и СКУД — вне объёма</w:t>
            </w:r>
          </w:p>
        </w:tc>
      </w:tr>
    </w:tbl>
    <w:bookmarkEnd w:id="38"/>
    <w:bookmarkStart w:id="39" w:name="X8ef431e0aaf8ca5b52108886428490efe501b60"/>
    <w:p>
      <w:pPr>
        <w:pStyle w:val="Heading3"/>
      </w:pPr>
      <w:r>
        <w:t xml:space="preserve">6.4. Обоснование количества ТШ (обязательный пункт проекта)</w:t>
      </w:r>
    </w:p>
    <w:p>
      <w:pPr>
        <w:pStyle w:val="FirstParagraph"/>
      </w:pPr>
      <w:r>
        <w:t xml:space="preserve">Подрядчик в проекте (и в укрупнённом виде — в КП) приводит:</w:t>
      </w:r>
    </w:p>
    <w:p>
      <w:pPr>
        <w:numPr>
          <w:ilvl w:val="0"/>
          <w:numId w:val="1009"/>
        </w:numPr>
        <w:pStyle w:val="Compact"/>
      </w:pPr>
      <w:r>
        <w:t xml:space="preserve">Трассировку всех линий к ТД и рабочим местам с реальными длинами (горизонталь по лоткам + вертикальные подъёмы/спуски + запасы).</w:t>
      </w:r>
    </w:p>
    <w:p>
      <w:pPr>
        <w:numPr>
          <w:ilvl w:val="0"/>
          <w:numId w:val="1009"/>
        </w:numPr>
        <w:pStyle w:val="Compact"/>
      </w:pPr>
      <w:r>
        <w:t xml:space="preserve">Проверку, что ни одна постоянная линия не превышает 90 м.</w:t>
      </w:r>
    </w:p>
    <w:p>
      <w:pPr>
        <w:numPr>
          <w:ilvl w:val="0"/>
          <w:numId w:val="1009"/>
        </w:numPr>
        <w:pStyle w:val="Compact"/>
      </w:pPr>
      <w:r>
        <w:t xml:space="preserve">Если с ТШ‑1/ТШ‑2 это невыполнимо — сравнение минимум двух вариантов, например: (а) дополнительные ТШ у стен по осям 1 и/или 18 в средней части склада с оптическим подключением; (б) промышленные коммутаторы в защищённых боксах в зоне стеллажей; (в) иное решение. Сравнение — по стоимости, надёжности, удобству обслуживания, требованиям к питанию и безопасности на высоте.</w:t>
      </w:r>
    </w:p>
    <w:p>
      <w:pPr>
        <w:numPr>
          <w:ilvl w:val="0"/>
          <w:numId w:val="1009"/>
        </w:numPr>
        <w:pStyle w:val="Compact"/>
      </w:pPr>
      <w:r>
        <w:t xml:space="preserve">Для доп. ТШ — место установки должно быть доступно для обслуживания без подъёмника, защищено от ударов погрузчиков, обеспечено питанием.</w:t>
      </w:r>
    </w:p>
    <w:bookmarkEnd w:id="39"/>
    <w:bookmarkStart w:id="40" w:name="кабеленесущие-системы"/>
    <w:p>
      <w:pPr>
        <w:pStyle w:val="Heading3"/>
      </w:pPr>
      <w:r>
        <w:t xml:space="preserve">6.5. Кабеленесущие системы</w:t>
      </w:r>
    </w:p>
    <w:p>
      <w:pPr>
        <w:numPr>
          <w:ilvl w:val="0"/>
          <w:numId w:val="1010"/>
        </w:numPr>
        <w:pStyle w:val="Compact"/>
      </w:pPr>
      <w:r>
        <w:t xml:space="preserve">Металлические лотки (проволочные или перфорированные) с крышками на участках риска механических повреждений; заполнение не более 50% после монтажа (с учётом резерва).</w:t>
      </w:r>
    </w:p>
    <w:p>
      <w:pPr>
        <w:numPr>
          <w:ilvl w:val="0"/>
          <w:numId w:val="1010"/>
        </w:numPr>
        <w:pStyle w:val="Compact"/>
      </w:pPr>
      <w:r>
        <w:t xml:space="preserve">Основные магистрали — по стенам и/или под покрытием выше отметки верха стеллажей (зазор над рамами ~1 м — согласовать отметки с АУПТ, освещением, вентиляцией); пересечение проходов — только поверху, без помех для погрузчиков.</w:t>
      </w:r>
    </w:p>
    <w:p>
      <w:pPr>
        <w:numPr>
          <w:ilvl w:val="0"/>
          <w:numId w:val="1010"/>
        </w:numPr>
        <w:pStyle w:val="Compact"/>
      </w:pPr>
      <w:r>
        <w:t xml:space="preserve">Спуски к ТД и оборудованию — в гофротрубе/металлорукаве или в лотке.</w:t>
      </w:r>
    </w:p>
    <w:p>
      <w:pPr>
        <w:numPr>
          <w:ilvl w:val="0"/>
          <w:numId w:val="1010"/>
        </w:numPr>
        <w:pStyle w:val="Compact"/>
      </w:pPr>
      <w:r>
        <w:t xml:space="preserve">На мезонинах — лотки под плитой мезонина/по ограждению/в кабель-каналах к рабочим местам (решение — проектом).</w:t>
      </w:r>
    </w:p>
    <w:p>
      <w:pPr>
        <w:numPr>
          <w:ilvl w:val="0"/>
          <w:numId w:val="1010"/>
        </w:numPr>
        <w:pStyle w:val="Compact"/>
      </w:pPr>
      <w:r>
        <w:t xml:space="preserve">Заземление и уравнивание потенциалов металлических лотков.</w:t>
      </w:r>
    </w:p>
    <w:p>
      <w:pPr>
        <w:numPr>
          <w:ilvl w:val="0"/>
          <w:numId w:val="1010"/>
        </w:numPr>
        <w:pStyle w:val="Compact"/>
      </w:pPr>
      <w:r>
        <w:t xml:space="preserve">Разделение слаботочных и силовых трасс по нормам (расстояния/перегородки).</w:t>
      </w:r>
    </w:p>
    <w:bookmarkEnd w:id="40"/>
    <w:bookmarkStart w:id="41" w:name="маркировка"/>
    <w:p>
      <w:pPr>
        <w:pStyle w:val="Heading3"/>
      </w:pPr>
      <w:r>
        <w:t xml:space="preserve">6.6. Маркировка</w:t>
      </w:r>
    </w:p>
    <w:p>
      <w:pPr>
        <w:numPr>
          <w:ilvl w:val="0"/>
          <w:numId w:val="1011"/>
        </w:numPr>
        <w:pStyle w:val="Compact"/>
      </w:pPr>
      <w:r>
        <w:t xml:space="preserve">По ANSI/TIA‑606 (или эквивалентной схеме, согласованной с заказчиком): ТШ, патч-панели, порты, розетки, оба конца каждого кабеля, оптические кроссы и волокна, ТД (метка с идентификатором, видимая с пола), лотки на поворотах и проходках.</w:t>
      </w:r>
    </w:p>
    <w:p>
      <w:pPr>
        <w:numPr>
          <w:ilvl w:val="0"/>
          <w:numId w:val="1011"/>
        </w:numPr>
        <w:pStyle w:val="Compact"/>
      </w:pPr>
      <w:r>
        <w:t xml:space="preserve">Маркировка — промышленные термоусадочные/ламинированные этикетки, стойкие к истиранию; ручные надписи не допускаются.</w:t>
      </w:r>
    </w:p>
    <w:p>
      <w:pPr>
        <w:numPr>
          <w:ilvl w:val="0"/>
          <w:numId w:val="1011"/>
        </w:numPr>
        <w:pStyle w:val="Compact"/>
      </w:pPr>
      <w:r>
        <w:t xml:space="preserve">Схема идентификаторов согласуется с ИТ заказчика до начала монтажа (увязка с существующей маркировкой основного склада).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требования-к-телекоммуникационным-шкафам"/>
    <w:p>
      <w:pPr>
        <w:pStyle w:val="Heading2"/>
      </w:pPr>
      <w:r>
        <w:t xml:space="preserve">7. Требования к телекоммуникационным шкафам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Напольный 19”,</w:t>
            </w:r>
            <w:r>
              <w:t xml:space="preserve"> </w:t>
            </w:r>
            <w:r>
              <w:rPr>
                <w:bCs/>
                <w:b/>
              </w:rPr>
              <w:t xml:space="preserve">не менее 42U</w:t>
            </w:r>
            <w:r>
              <w:t xml:space="preserve">, глубина</w:t>
            </w:r>
            <w:r>
              <w:t xml:space="preserve"> </w:t>
            </w:r>
            <w:r>
              <w:rPr>
                <w:bCs/>
                <w:b/>
              </w:rPr>
              <w:t xml:space="preserve">не менее 1000 мм</w:t>
            </w:r>
            <w:r>
              <w:t xml:space="preserve"> </w:t>
            </w:r>
            <w:r>
              <w:t xml:space="preserve">(под коммутаторы и ИБП), ширина 800 мм предпочтительно (кабельные органайзеры по бокам) — окончательно по проекту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Исполнение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Закрывающиеся двери с замком (передняя — перфорированная или стекло/сталь, задняя — перфорированная); боковые стенки съёмные с замками. При запылённости/перепадах температур — шкаф с повышенной степенью защиты (IP54) и климат-контролем</w:t>
            </w:r>
            <w:r>
              <w:t xml:space="preserve"> </w:t>
            </w:r>
            <w:r>
              <w:rPr>
                <w:bCs/>
                <w:b/>
              </w:rPr>
              <w:t xml:space="preserve">[Вопрос 17.3]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Размещение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мезонинах, вне путей эвакуации и зон перемещения грузов; защита от ударов (отбойники) при необходимости; проверка несущей способности плиты — нагрузка шкафа с ИБП и АКБ до ~500 кг (мезонин рассчитан на 15 кН/м²)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Вентиляция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Вентиляторные модули с термостатом; расчёт тепловыделения активного оборудования и ИБП; допустимый температурный диапазон оборудования — подтвердить для условий склада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Заполнение (минимум)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Оптический кросс; патч-панели с органайзерами; коммутаторы доступа/агрегации; ИБП; блок розеток (PDU) 19”; полка; резерв ≥ 30% юнитов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Питание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Выделенная линия 230 В на каждый ТШ (ориентировочно — от электрощитовой нового корпуса), отдельный автомат и УЗО/дифавтомат по нормам; по возможности — от щита гарантированного питания. Подрядчик ЛВС выдаёт ГИП задание с нагрузками (кВт) и местами ТШ; линии выполняются по проекту электроснабжения</w:t>
            </w:r>
            <w:r>
              <w:t xml:space="preserve"> </w:t>
            </w:r>
            <w:r>
              <w:rPr>
                <w:bCs/>
                <w:b/>
              </w:rPr>
              <w:t xml:space="preserve">[Вопрос 17.9]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ИБП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Онлайн (двойное преобразование), стоечный, с сетевой картой SNMP/HTTPS для мониторинга; мощность — по расчёту с запасом ≥ 25% от максимального потребления (включая полный PoE-бюджет); автономность —</w:t>
            </w:r>
            <w:r>
              <w:t xml:space="preserve"> </w:t>
            </w:r>
            <w:r>
              <w:rPr>
                <w:bCs/>
                <w:b/>
              </w:rPr>
              <w:t xml:space="preserve">не менее 30 минут [Допущение, Вопрос 17.9]</w:t>
            </w:r>
            <w:r>
              <w:t xml:space="preserve">; внешний байпас при возможности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Заземление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Шина заземления в каждом шкафу, подключение к главной заземляющей шине/контуру здания медным проводником сечением по расчёту/нормам; заземление экранов СКС через патч-панели; протокол измерения сопротивления заземления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Доступ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Ключи — у заказчика; перечень лиц с доступом — по согласованию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8" w:name="требования-к-активному-оборудованию"/>
    <w:p>
      <w:pPr>
        <w:pStyle w:val="Heading2"/>
      </w:pPr>
      <w:r>
        <w:t xml:space="preserve">8. Требования к активному оборудованию</w:t>
      </w:r>
    </w:p>
    <w:bookmarkStart w:id="44" w:name="общие"/>
    <w:p>
      <w:pPr>
        <w:pStyle w:val="Heading3"/>
      </w:pPr>
      <w:r>
        <w:t xml:space="preserve">8.1. Общие</w:t>
      </w:r>
    </w:p>
    <w:p>
      <w:pPr>
        <w:numPr>
          <w:ilvl w:val="0"/>
          <w:numId w:val="1012"/>
        </w:numPr>
        <w:pStyle w:val="Compact"/>
      </w:pPr>
      <w:r>
        <w:t xml:space="preserve">Производитель —</w:t>
      </w:r>
      <w:r>
        <w:t xml:space="preserve"> </w:t>
      </w:r>
      <w:r>
        <w:rPr>
          <w:bCs/>
          <w:b/>
        </w:rPr>
        <w:t xml:space="preserve">только Huawei</w:t>
      </w:r>
      <w:r>
        <w:t xml:space="preserve">, так же как ядро сети основного склада. Модели коммутаторов, ТД и модулей подрядчик подбирает с обоснованием; при наличии нескольких подходящих линеек — 2 варианта (например, базовый и с запасом по производительности) с полной стоимостью владения на 5 лет (оборудование, лицензии, сервисная поддержка).</w:t>
      </w:r>
    </w:p>
    <w:p>
      <w:pPr>
        <w:numPr>
          <w:ilvl w:val="0"/>
          <w:numId w:val="1012"/>
        </w:numPr>
        <w:pStyle w:val="Compact"/>
      </w:pPr>
      <w:r>
        <w:t xml:space="preserve">Обязательная проверка совместимости с существующим ядром Huawei: модели и версия ПО ядра, оптические модули, протоколы резервирования, функции контроллера Wi‑Fi (п. 9.6). При необходимости обновить ПО ядра — указать это в КП отдельно, с оценкой рисков и окном работ.</w:t>
      </w:r>
    </w:p>
    <w:p>
      <w:pPr>
        <w:numPr>
          <w:ilvl w:val="0"/>
          <w:numId w:val="1012"/>
        </w:numPr>
        <w:pStyle w:val="Compact"/>
      </w:pPr>
      <w:r>
        <w:t xml:space="preserve">Совместимость с существующим ядром сети и системой управления заказчика (VLAN 802.1Q, LACP 802.3ad, STP/RSTP/MSTP или ERPS, LLDP, SNMPv3, Syslog, NTP, 802.1X/RADIUS, ACL, QoS DSCP/802.1p).</w:t>
      </w:r>
    </w:p>
    <w:p>
      <w:pPr>
        <w:numPr>
          <w:ilvl w:val="0"/>
          <w:numId w:val="1012"/>
        </w:numPr>
        <w:pStyle w:val="Compact"/>
      </w:pPr>
      <w:r>
        <w:t xml:space="preserve">Централизованное управление в существующей инфраструктуре Huawei заказчика (система управления/NMS —</w:t>
      </w:r>
      <w:r>
        <w:t xml:space="preserve"> </w:t>
      </w:r>
      <w:r>
        <w:rPr>
          <w:bCs/>
          <w:b/>
        </w:rPr>
        <w:t xml:space="preserve">[Вопрос 17.11]</w:t>
      </w:r>
      <w:r>
        <w:t xml:space="preserve">), резервное копирование конфигураций.</w:t>
      </w:r>
    </w:p>
    <w:p>
      <w:pPr>
        <w:numPr>
          <w:ilvl w:val="0"/>
          <w:numId w:val="1012"/>
        </w:numPr>
        <w:pStyle w:val="Compact"/>
      </w:pPr>
      <w:r>
        <w:t xml:space="preserve">Все компоненты — с действующей гарантией/сервисным контрактом производителя; указать сроки End-of-Sale/End-of-Support (не ранее 5 лет с даты поставки).</w:t>
      </w:r>
    </w:p>
    <w:bookmarkEnd w:id="44"/>
    <w:bookmarkStart w:id="45" w:name="коммутаторы-доступа-в-тш"/>
    <w:p>
      <w:pPr>
        <w:pStyle w:val="Heading3"/>
      </w:pPr>
      <w:r>
        <w:t xml:space="preserve">8.2. Коммутаторы доступа (в ТШ)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Порты под ТД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Multigigabit 1/2.5/5 Гбит/с (а при необходимости 10GBASE-T) с PoE+ (802.3at) или PoE++ (802.3bt) — по требованиям выбранной модели ТД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Порты под рабочие места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Гбит/с (PoE — по перечню устройств: IP‑телефоны, камеры)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менее 2 × 10 Гбит/с SFP+ (или 25 Гбит/с) на каждый коммутатор/стек; оптические модули — в комплекте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Резервирование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Стек или MLAG внутри ТШ; два блока питания (или резервный БП) у коммутаторов ядра/агрегации ТШ; uplink из каждого ТШ — в две независимые ВОЛС (к серверной и через кольцо)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PoE-бюджет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менее суммы максимальных классов мощности всех подключённых PoE‑устройств</w:t>
            </w:r>
            <w:r>
              <w:t xml:space="preserve"> </w:t>
            </w:r>
            <w:r>
              <w:rPr>
                <w:bCs/>
                <w:b/>
              </w:rPr>
              <w:t xml:space="preserve">+ 30% резерв</w:t>
            </w:r>
            <w:r>
              <w:t xml:space="preserve">; расчёт — в проекте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Статическая маршрутизация/OSPF — по архитектуре, согласованной с ИТ заказчика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Суммарный резерв свободных портов ≥ 20%</w:t>
            </w:r>
          </w:p>
        </w:tc>
      </w:tr>
    </w:tbl>
    <w:bookmarkEnd w:id="45"/>
    <w:bookmarkStart w:id="46" w:name="отказоустойчивость"/>
    <w:p>
      <w:pPr>
        <w:pStyle w:val="Heading3"/>
      </w:pPr>
      <w:r>
        <w:t xml:space="preserve">8.3. Отказоустойчивость</w:t>
      </w:r>
    </w:p>
    <w:p>
      <w:pPr>
        <w:numPr>
          <w:ilvl w:val="0"/>
          <w:numId w:val="1013"/>
        </w:numPr>
        <w:pStyle w:val="Compact"/>
      </w:pPr>
      <w:r>
        <w:t xml:space="preserve">Схема: серверная ↔ ТШ‑1 (ВОЛС‑1), серверная ↔ ТШ‑2 (ВОЛС‑2), ТШ‑1 ↔ ТШ‑2 (ВОЛС‑3) — логическое кольцо. При обрыве любой одной ВОЛС или отказе одного ТШ другая половина склада сохраняет связь с серверной.</w:t>
      </w:r>
    </w:p>
    <w:p>
      <w:pPr>
        <w:numPr>
          <w:ilvl w:val="0"/>
          <w:numId w:val="1013"/>
        </w:numPr>
        <w:pStyle w:val="Compact"/>
      </w:pPr>
      <w:r>
        <w:t xml:space="preserve">Время сходимости при обрыве линии —</w:t>
      </w:r>
      <w:r>
        <w:t xml:space="preserve"> </w:t>
      </w:r>
      <w:r>
        <w:rPr>
          <w:bCs/>
          <w:b/>
        </w:rPr>
        <w:t xml:space="preserve">не более 1 с [Допущение, целевое; уточнить требования WMS]</w:t>
      </w:r>
      <w:r>
        <w:t xml:space="preserve">; протокол (RSTP/MSTP, ERPS, L3 с ECMP и т.п.) — по проекту, согласованному с ИТ заказчика.</w:t>
      </w:r>
    </w:p>
    <w:p>
      <w:pPr>
        <w:numPr>
          <w:ilvl w:val="0"/>
          <w:numId w:val="1013"/>
        </w:numPr>
        <w:pStyle w:val="Compact"/>
      </w:pPr>
      <w:r>
        <w:t xml:space="preserve">В серверной существующего склада — подключение ВОЛС‑1 и ВОЛС‑2, по возможности, к разным коммутаторам ядра (</w:t>
      </w:r>
      <w:r>
        <w:rPr>
          <w:bCs/>
          <w:b/>
        </w:rPr>
        <w:t xml:space="preserve">[Вопрос 17.7]</w:t>
      </w:r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t xml:space="preserve">Отказ одной ТД не должен приводить к «мёртвой зоне»: в рабочих зонах ТСД — покрытие минимум двумя ТД (см. 9.3).</w:t>
      </w:r>
    </w:p>
    <w:bookmarkEnd w:id="46"/>
    <w:bookmarkStart w:id="47" w:name="сетевая-сегментация-предварительно"/>
    <w:p>
      <w:pPr>
        <w:pStyle w:val="Heading3"/>
      </w:pPr>
      <w:r>
        <w:t xml:space="preserve">8.4. Сетевая сегментация (предварительно)</w:t>
      </w:r>
    </w:p>
    <w:p>
      <w:pPr>
        <w:pStyle w:val="FirstParagraph"/>
      </w:pPr>
      <w:r>
        <w:t xml:space="preserve">Отдельные VLAN/SSID для: ТСД; проводных рабочих мест; управления сетевым оборудованием; гостевого доступа (если нужен); видеонаблюдения/СКУД/принтеров (если будут). Окончательная схема и IP‑план — согласовать с ИТ заказчика.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требования-к-беспроводной-сети-wifi"/>
    <w:p>
      <w:pPr>
        <w:pStyle w:val="Heading2"/>
      </w:pPr>
      <w:r>
        <w:t xml:space="preserve">9. Требования к беспроводной сети Wi‑Fi</w:t>
      </w:r>
    </w:p>
    <w:bookmarkStart w:id="49" w:name="зоны-покрытия"/>
    <w:p>
      <w:pPr>
        <w:pStyle w:val="Heading3"/>
      </w:pPr>
      <w:r>
        <w:t xml:space="preserve">9.1. Зоны покрытия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Зона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Проходы между стеллажами (все, на всю длину, включая проездные секции)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Покрытие для ТСД (профиль «ТСД», п. 9.3)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Проезды и зоны вдоль мезонинов, зоны приёмки/отгрузки у ворот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Профиль «ТСД»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 мезонинами (высота ~3,56 м, ж/б плита сверху)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Профиль «ТСД»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мезонинах (рабочие места, зоны комплектации —</w:t>
            </w:r>
            <w:r>
              <w:t xml:space="preserve"> </w:t>
            </w:r>
            <w:r>
              <w:rPr>
                <w:bCs/>
                <w:b/>
              </w:rPr>
              <w:t xml:space="preserve">[Вопрос 17.4]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Профиль «ТСД» + офисные клиенты (ноутбуки)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Вспомогательные помещения (обогрев, санузлы, тамбуры, электрощитовая, венткамера)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требуется</w:t>
            </w:r>
            <w:r>
              <w:t xml:space="preserve"> </w:t>
            </w:r>
            <w:r>
              <w:rPr>
                <w:bCs/>
                <w:b/>
              </w:rPr>
              <w:t xml:space="preserve">[Допущение]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Площадка для брака (150 м²), площадки у ворот снаружи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[Вопрос 17.4]</w:t>
            </w:r>
          </w:p>
        </w:tc>
      </w:tr>
    </w:tbl>
    <w:p>
      <w:pPr>
        <w:pStyle w:val="BodyText"/>
      </w:pPr>
      <w:r>
        <w:t xml:space="preserve">Высота расчёта покрытия —</w:t>
      </w:r>
      <w:r>
        <w:t xml:space="preserve"> </w:t>
      </w:r>
      <w:r>
        <w:rPr>
          <w:bCs/>
          <w:b/>
        </w:rPr>
        <w:t xml:space="preserve">1,0–1,5 м от пола</w:t>
      </w:r>
      <w:r>
        <w:t xml:space="preserve"> </w:t>
      </w:r>
      <w:r>
        <w:t xml:space="preserve">(уровень ТСД в руке/на погрузчике). Если ТСД используются на высоте (оператор поднимается на погрузчике — man-up/VNA), покрытие также на рабочей высоте подъёма —</w:t>
      </w:r>
      <w:r>
        <w:t xml:space="preserve"> </w:t>
      </w:r>
      <w:r>
        <w:rPr>
          <w:bCs/>
          <w:b/>
        </w:rPr>
        <w:t xml:space="preserve">[Вопрос 17.1]</w:t>
      </w:r>
      <w:r>
        <w:t xml:space="preserve">.</w:t>
      </w:r>
    </w:p>
    <w:p>
      <w:pPr>
        <w:pStyle w:val="BodyText"/>
      </w:pPr>
      <w:r>
        <w:t xml:space="preserve">Модель расчёта —</w:t>
      </w:r>
      <w:r>
        <w:t xml:space="preserve"> </w:t>
      </w:r>
      <w:r>
        <w:rPr>
          <w:bCs/>
          <w:b/>
        </w:rPr>
        <w:t xml:space="preserve">с заполненными стеллажами</w:t>
      </w:r>
      <w:r>
        <w:t xml:space="preserve"> </w:t>
      </w:r>
      <w:r>
        <w:t xml:space="preserve">(худший случай), с учётом реального типа товара.</w:t>
      </w:r>
    </w:p>
    <w:bookmarkEnd w:id="49"/>
    <w:bookmarkStart w:id="50" w:name="частотные-диапазоны-и-стандарты"/>
    <w:p>
      <w:pPr>
        <w:pStyle w:val="Heading3"/>
      </w:pPr>
      <w:r>
        <w:t xml:space="preserve">9.2. Частотные диапазоны и стандарты</w:t>
      </w:r>
    </w:p>
    <w:p>
      <w:pPr>
        <w:numPr>
          <w:ilvl w:val="0"/>
          <w:numId w:val="1014"/>
        </w:numPr>
        <w:pStyle w:val="Compact"/>
      </w:pPr>
      <w:r>
        <w:t xml:space="preserve">ТД — не ниже</w:t>
      </w:r>
      <w:r>
        <w:t xml:space="preserve"> </w:t>
      </w:r>
      <w:r>
        <w:rPr>
          <w:bCs/>
          <w:b/>
        </w:rPr>
        <w:t xml:space="preserve">Wi‑Fi 6 (802.11ax)</w:t>
      </w:r>
      <w:r>
        <w:t xml:space="preserve">; рассмотреть Wi‑Fi 6E/7, если ТСД заказчика поддерживают 6 ГГц и диапазон разрешён в РБ.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Основной диапазон для ТСД — 5 ГГц</w:t>
      </w:r>
      <w:r>
        <w:t xml:space="preserve">; каналы шириной</w:t>
      </w:r>
      <w:r>
        <w:t xml:space="preserve"> </w:t>
      </w:r>
      <w:r>
        <w:rPr>
          <w:bCs/>
          <w:b/>
        </w:rPr>
        <w:t xml:space="preserve">20 МГц</w:t>
      </w:r>
      <w:r>
        <w:t xml:space="preserve"> </w:t>
      </w:r>
      <w:r>
        <w:t xml:space="preserve">(для плотного частотного плана и устойчивого роуминга); 40 МГц — только при обосновании.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2,4 ГГц — обязателен:</w:t>
      </w:r>
      <w:r>
        <w:t xml:space="preserve"> </w:t>
      </w:r>
      <w:r>
        <w:t xml:space="preserve">у заказчика есть устаревшие клиенты</w:t>
      </w:r>
      <w:r>
        <w:t xml:space="preserve"> </w:t>
      </w:r>
      <w:r>
        <w:rPr>
          <w:bCs/>
          <w:b/>
        </w:rPr>
        <w:t xml:space="preserve">Wi‑Fi 4 (802.11n), работающие только в 2,4 ГГц</w:t>
      </w:r>
      <w:r>
        <w:t xml:space="preserve">. Требования: каналы только 1/6/11, ширина 20 МГц, мощность согласована с 5 ГГц. В плотной сетке ТД часть радиомодулей 2,4 ГГц отключается или переводится в режим мониторинга, чтобы не было взаимных помех. Покрытие 2,4 ГГц — во всех зонах, где работают эти устройства (</w:t>
      </w:r>
      <w:r>
        <w:rPr>
          <w:bCs/>
          <w:b/>
        </w:rPr>
        <w:t xml:space="preserve">[Вопрос 17.1]</w:t>
      </w:r>
      <w:r>
        <w:t xml:space="preserve">: какие устройства, сколько и где; по умолчанию — все зоны профиля «ТСД»).</w:t>
      </w:r>
    </w:p>
    <w:p>
      <w:pPr>
        <w:numPr>
          <w:ilvl w:val="0"/>
          <w:numId w:val="1014"/>
        </w:numPr>
        <w:pStyle w:val="Compact"/>
      </w:pPr>
      <w:r>
        <w:t xml:space="preserve">Режим совместимости с 802.11n на 2,4 ГГц не должен ухудшать работу современных клиентов на 5 ГГц: современные ТСД направляются в 5 ГГц (band steering или отдельный SSID), а для 2,4 ГГц используется отдельный SSID/профиль, если это нужно устаревшим устройствам.</w:t>
      </w:r>
    </w:p>
    <w:p>
      <w:pPr>
        <w:numPr>
          <w:ilvl w:val="0"/>
          <w:numId w:val="1014"/>
        </w:numPr>
        <w:pStyle w:val="Compact"/>
      </w:pPr>
      <w:r>
        <w:t xml:space="preserve">Частотный план — без взаимных помех соседних ТД (co-channel interference) с учётом DFS-каналов; если ТСД плохо работают с DFS — план только на не-DFS каналах (</w:t>
      </w:r>
      <w:r>
        <w:rPr>
          <w:bCs/>
          <w:b/>
        </w:rPr>
        <w:t xml:space="preserve">[Вопрос 17.1]</w:t>
      </w:r>
      <w:r>
        <w:t xml:space="preserve">).</w:t>
      </w:r>
    </w:p>
    <w:p>
      <w:pPr>
        <w:numPr>
          <w:ilvl w:val="0"/>
          <w:numId w:val="1014"/>
        </w:numPr>
        <w:pStyle w:val="Compact"/>
      </w:pPr>
      <w:r>
        <w:t xml:space="preserve">Мощность ТД — согласована с мощностью ТСД (избегать асимметрии: ТСД слышит ТД, а ТД не слышит ТСД).</w:t>
      </w:r>
    </w:p>
    <w:p>
      <w:pPr>
        <w:numPr>
          <w:ilvl w:val="0"/>
          <w:numId w:val="1014"/>
        </w:numPr>
        <w:pStyle w:val="Compact"/>
      </w:pPr>
      <w:r>
        <w:t xml:space="preserve">Отключить низкие скорости передачи (минимальная базовая скорость — например, 12 Мбит/с на 5 ГГц) — по согласованию с поддерживаемыми ТСД.</w:t>
      </w:r>
    </w:p>
    <w:bookmarkEnd w:id="50"/>
    <w:bookmarkStart w:id="51" w:name="Xfd355be2fa1b2cd25e75ad0b2750b099abdc390"/>
    <w:p>
      <w:pPr>
        <w:pStyle w:val="Heading3"/>
      </w:pPr>
      <w:r>
        <w:t xml:space="preserve">9.3. Целевые параметры радиопокрытия (профиль «ТСД»)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Уровень сигнала от основной ТД (Primary RSSI)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−67 дБм</w:t>
            </w:r>
            <w:r>
              <w:t xml:space="preserve"> </w:t>
            </w:r>
            <w:r>
              <w:t xml:space="preserve">в 95% площади рабочих зон, по каждому проходу —</w:t>
            </w:r>
            <w:r>
              <w:t xml:space="preserve"> </w:t>
            </w:r>
            <w:r>
              <w:rPr>
                <w:bCs/>
                <w:b/>
              </w:rPr>
              <w:t xml:space="preserve">в 5 ГГц и в 2,4 ГГц</w:t>
            </w:r>
            <w:r>
              <w:t xml:space="preserve"> </w:t>
            </w:r>
            <w:r>
              <w:t xml:space="preserve">(для зон, где работают устройства Wi‑Fi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Уровень сигнала от второй ТД (Secondary RSSI)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−70…−72 дБм</w:t>
            </w:r>
            <w:r>
              <w:t xml:space="preserve"> </w:t>
            </w:r>
            <w:r>
              <w:t xml:space="preserve">(для бесшовного роуминга и отказоустойчивости)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25 дБ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Перекрытие соседних ТД одного канала (CCI)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более 1 ТД на канале с уровнем ≥ −82 дБм в точке [Допущение, уточняется по результатам обследования]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Задержка (RTT до шлюза)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50 мс в 95% измерений; потери пакетов ≤ 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Время роуминга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50 мс (цель при 802.11r); без разрыва сессии приложения WMS/терминала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Ёмкость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менее [N —</w:t>
            </w:r>
            <w:r>
              <w:t xml:space="preserve"> </w:t>
            </w:r>
            <w:r>
              <w:rPr>
                <w:bCs/>
                <w:b/>
              </w:rPr>
              <w:t xml:space="preserve">Вопрос 17.1</w:t>
            </w:r>
            <w:r>
              <w:t xml:space="preserve">] одновременно работающих ТСД + [M] прочих клиентов, с запасом 30%</w:t>
            </w:r>
          </w:p>
        </w:tc>
      </w:tr>
    </w:tbl>
    <w:p>
      <w:pPr>
        <w:pStyle w:val="BodyText"/>
      </w:pPr>
      <w:r>
        <w:t xml:space="preserve">Итоговые значения могут быть скорректированы по рекомендациям производителя ТСД — подрядчик обязан сверить требования с документацией на модели ТСД заказчика.</w:t>
      </w:r>
    </w:p>
    <w:bookmarkEnd w:id="51"/>
    <w:bookmarkStart w:id="52" w:name="роуминг-и-безопасность"/>
    <w:p>
      <w:pPr>
        <w:pStyle w:val="Heading3"/>
      </w:pPr>
      <w:r>
        <w:t xml:space="preserve">9.4. Роуминг и безопасность</w:t>
      </w:r>
    </w:p>
    <w:p>
      <w:pPr>
        <w:numPr>
          <w:ilvl w:val="0"/>
          <w:numId w:val="1015"/>
        </w:numPr>
        <w:pStyle w:val="Compact"/>
      </w:pPr>
      <w:r>
        <w:t xml:space="preserve">Поддержка и настройка</w:t>
      </w:r>
      <w:r>
        <w:t xml:space="preserve"> </w:t>
      </w:r>
      <w:r>
        <w:rPr>
          <w:bCs/>
          <w:b/>
        </w:rPr>
        <w:t xml:space="preserve">802.11r (Fast BSS Transition)</w:t>
      </w:r>
      <w:r>
        <w:t xml:space="preserve">,</w:t>
      </w:r>
      <w:r>
        <w:t xml:space="preserve"> </w:t>
      </w:r>
      <w:r>
        <w:rPr>
          <w:bCs/>
          <w:b/>
        </w:rPr>
        <w:t xml:space="preserve">802.11k</w:t>
      </w:r>
      <w:r>
        <w:t xml:space="preserve"> </w:t>
      </w:r>
      <w:r>
        <w:t xml:space="preserve">(Neighbor reports),</w:t>
      </w:r>
      <w:r>
        <w:t xml:space="preserve"> </w:t>
      </w:r>
      <w:r>
        <w:rPr>
          <w:bCs/>
          <w:b/>
        </w:rPr>
        <w:t xml:space="preserve">802.11v</w:t>
      </w:r>
      <w:r>
        <w:t xml:space="preserve"> </w:t>
      </w:r>
      <w:r>
        <w:t xml:space="preserve">(BSS Transition Management) — с проверкой совместимости с ТСД заказчика (при несовместимости — режим «mixed» или OKC; обосновать).</w:t>
      </w:r>
    </w:p>
    <w:p>
      <w:pPr>
        <w:numPr>
          <w:ilvl w:val="0"/>
          <w:numId w:val="1015"/>
        </w:numPr>
        <w:pStyle w:val="Compact"/>
      </w:pPr>
      <w:r>
        <w:t xml:space="preserve">Устаревшие клиенты Wi‑Fi 4 (2,4 ГГц) могут не поддерживать 802.11r/k/v и WPA3: для них подрядчик предлагает отдельный SSID/профиль безопасности (например, WPA2 и без FT), чтобы они не мешали быстрому роумингу современных ТСД. Решение согласуется с ИТ заказчика и проверяется на реальных устройствах.</w:t>
      </w:r>
    </w:p>
    <w:p>
      <w:pPr>
        <w:numPr>
          <w:ilvl w:val="0"/>
          <w:numId w:val="1015"/>
        </w:numPr>
        <w:pStyle w:val="Compact"/>
      </w:pPr>
      <w:r>
        <w:t xml:space="preserve">Шифрование —</w:t>
      </w:r>
      <w:r>
        <w:t xml:space="preserve"> </w:t>
      </w:r>
      <w:r>
        <w:rPr>
          <w:bCs/>
          <w:b/>
        </w:rPr>
        <w:t xml:space="preserve">WPA2‑Enterprise / WPA3‑Enterprise (802.1X, RADIUS)</w:t>
      </w:r>
      <w:r>
        <w:t xml:space="preserve"> </w:t>
      </w:r>
      <w:r>
        <w:t xml:space="preserve">для ТСД и рабочих клиентов; WPA2/WPA3‑Personal — только при обосновании и согласовании. Используемый RADIUS/каталог —</w:t>
      </w:r>
      <w:r>
        <w:t xml:space="preserve"> </w:t>
      </w:r>
      <w:r>
        <w:rPr>
          <w:bCs/>
          <w:b/>
        </w:rPr>
        <w:t xml:space="preserve">[Вопрос 17.11]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Protected Management Frames (802.11w) — по совместимости с ТСД.</w:t>
      </w:r>
    </w:p>
    <w:p>
      <w:pPr>
        <w:numPr>
          <w:ilvl w:val="0"/>
          <w:numId w:val="1015"/>
        </w:numPr>
        <w:pStyle w:val="Compact"/>
      </w:pPr>
      <w:r>
        <w:t xml:space="preserve">Не более 3–4 SSID на радиомодуль.</w:t>
      </w:r>
    </w:p>
    <w:p>
      <w:pPr>
        <w:numPr>
          <w:ilvl w:val="0"/>
          <w:numId w:val="1015"/>
        </w:numPr>
        <w:pStyle w:val="Compact"/>
      </w:pPr>
      <w:r>
        <w:t xml:space="preserve">QoS (WMM), при необходимости голосовых приложений на ТСД — приоритизация голоса.</w:t>
      </w:r>
    </w:p>
    <w:p>
      <w:pPr>
        <w:numPr>
          <w:ilvl w:val="0"/>
          <w:numId w:val="1015"/>
        </w:numPr>
        <w:pStyle w:val="Compact"/>
      </w:pPr>
      <w:r>
        <w:t xml:space="preserve">Rogue AP detection / WIDS — если поддерживается системой управления.</w:t>
      </w:r>
    </w:p>
    <w:bookmarkEnd w:id="52"/>
    <w:bookmarkStart w:id="53" w:name="точки-доступа-и-антенны"/>
    <w:p>
      <w:pPr>
        <w:pStyle w:val="Heading3"/>
      </w:pPr>
      <w:r>
        <w:t xml:space="preserve">9.5. Точки доступа и антенны</w:t>
      </w:r>
    </w:p>
    <w:p>
      <w:pPr>
        <w:numPr>
          <w:ilvl w:val="0"/>
          <w:numId w:val="1016"/>
        </w:numPr>
        <w:pStyle w:val="Compact"/>
      </w:pPr>
      <w:r>
        <w:t xml:space="preserve">ТД —</w:t>
      </w:r>
      <w:r>
        <w:t xml:space="preserve"> </w:t>
      </w:r>
      <w:r>
        <w:rPr>
          <w:bCs/>
          <w:b/>
        </w:rPr>
        <w:t xml:space="preserve">Huawei</w:t>
      </w:r>
      <w:r>
        <w:t xml:space="preserve"> </w:t>
      </w:r>
      <w:r>
        <w:t xml:space="preserve">(линейка AirEngine или актуальная на момент поставки),</w:t>
      </w:r>
      <w:r>
        <w:t xml:space="preserve"> </w:t>
      </w:r>
      <w:r>
        <w:rPr>
          <w:bCs/>
          <w:b/>
        </w:rPr>
        <w:t xml:space="preserve">поддерживаемые существующим контроллером</w:t>
      </w:r>
      <w:r>
        <w:t xml:space="preserve"> </w:t>
      </w:r>
      <w:r>
        <w:t xml:space="preserve">на коммутаторе ядра основного склада при его текущей (или согласованной обновлённой) версии ПО. Конкретная модель выбирается</w:t>
      </w:r>
      <w:r>
        <w:t xml:space="preserve"> </w:t>
      </w:r>
      <w:r>
        <w:rPr>
          <w:bCs/>
          <w:b/>
        </w:rPr>
        <w:t xml:space="preserve">по результатам радиообследования</w:t>
      </w:r>
      <w:r>
        <w:t xml:space="preserve"> </w:t>
      </w:r>
      <w:r>
        <w:t xml:space="preserve">(раздел 10) с обоснованием: соответствие требованиям 9.2–9.4, совместимость с ТСД, диапазон рабочих температур (для неотапливаемого склада — промышленное исполнение/подтверждённый диапазон), исполнение (внутренние всенаправленные / с внешними направленными антеннами «вдоль прохода»), PoE-потребление, стоимость владения.</w:t>
      </w:r>
    </w:p>
    <w:p>
      <w:pPr>
        <w:numPr>
          <w:ilvl w:val="0"/>
          <w:numId w:val="1016"/>
        </w:numPr>
        <w:pStyle w:val="Compact"/>
      </w:pPr>
      <w:r>
        <w:t xml:space="preserve">Высота и способ крепления (над проходами под покрытием, на стенах, на конструкциях мезонинов, на стойках стеллажей — последнее только с согласия Триовист) — по проекту. Не допускается установка ТД непосредственно над/за металлическими элементами, экранирующими сигнал, без обоснования.</w:t>
      </w:r>
    </w:p>
    <w:p>
      <w:pPr>
        <w:numPr>
          <w:ilvl w:val="0"/>
          <w:numId w:val="1016"/>
        </w:numPr>
        <w:pStyle w:val="Compact"/>
      </w:pPr>
      <w:r>
        <w:t xml:space="preserve">Крепление — надёжное, с защитой от падения (страховочный тросик), с доступом для обслуживания с подъёмника.</w:t>
      </w:r>
    </w:p>
    <w:p>
      <w:pPr>
        <w:numPr>
          <w:ilvl w:val="0"/>
          <w:numId w:val="1016"/>
        </w:numPr>
        <w:pStyle w:val="Compact"/>
      </w:pPr>
      <w:r>
        <w:t xml:space="preserve">Для предварительной оценки в КП:</w:t>
      </w:r>
      <w:r>
        <w:t xml:space="preserve"> </w:t>
      </w:r>
      <w:r>
        <w:rPr>
          <w:bCs/>
          <w:b/>
        </w:rPr>
        <w:t xml:space="preserve">[Допущение]</w:t>
      </w:r>
      <w:r>
        <w:t xml:space="preserve"> </w:t>
      </w:r>
      <w:r>
        <w:t xml:space="preserve">ориентировочно</w:t>
      </w:r>
      <w:r>
        <w:t xml:space="preserve"> </w:t>
      </w:r>
      <w:r>
        <w:rPr>
          <w:bCs/>
          <w:b/>
        </w:rPr>
        <w:t xml:space="preserve">60 ТД</w:t>
      </w:r>
      <w:r>
        <w:t xml:space="preserve"> </w:t>
      </w:r>
      <w:r>
        <w:t xml:space="preserve">(±30%) — только для сравнения предложений; в КП обязательно дать</w:t>
      </w:r>
      <w:r>
        <w:t xml:space="preserve"> </w:t>
      </w:r>
      <w:r>
        <w:rPr>
          <w:bCs/>
          <w:b/>
        </w:rPr>
        <w:t xml:space="preserve">цену «под ключ» за единицу ТД</w:t>
      </w:r>
      <w:r>
        <w:t xml:space="preserve"> </w:t>
      </w:r>
      <w:r>
        <w:t xml:space="preserve">(ТД + крепление + линия СКС средней длины + монтаж + настройка), чтобы итог можно было пересчитать по результатам обследования.</w:t>
      </w:r>
    </w:p>
    <w:bookmarkEnd w:id="53"/>
    <w:bookmarkStart w:id="54" w:name="система-управления"/>
    <w:p>
      <w:pPr>
        <w:pStyle w:val="Heading3"/>
      </w:pPr>
      <w:r>
        <w:t xml:space="preserve">9.6. Система управления</w:t>
      </w:r>
    </w:p>
    <w:p>
      <w:pPr>
        <w:numPr>
          <w:ilvl w:val="0"/>
          <w:numId w:val="1017"/>
        </w:numPr>
        <w:pStyle w:val="Compact"/>
      </w:pPr>
      <w:r>
        <w:t xml:space="preserve">Используется</w:t>
      </w:r>
      <w:r>
        <w:t xml:space="preserve"> </w:t>
      </w:r>
      <w:r>
        <w:rPr>
          <w:bCs/>
          <w:b/>
        </w:rPr>
        <w:t xml:space="preserve">существующий контроллер Wi‑Fi на коммутаторе ядра Huawei основного склада</w:t>
      </w:r>
      <w:r>
        <w:t xml:space="preserve">. Отдельный контроллер или облачное управление не требуются, если подрядчик не докажет необходимость.</w:t>
      </w:r>
    </w:p>
    <w:p>
      <w:pPr>
        <w:numPr>
          <w:ilvl w:val="0"/>
          <w:numId w:val="1017"/>
        </w:numPr>
        <w:pStyle w:val="Compact"/>
      </w:pPr>
      <w:r>
        <w:t xml:space="preserve">Подрядчик на этапе 1 проверяет и отражает в КП: модель и версию ПО коммутатора-контроллера; поддержку выбранной модели ТД; максимальное количество ТД и клиентов на контроллере с учётом существующих ТД основного склада; количество свободных лицензий ТД и стоимость недостающих; нагрузку на ядро.</w:t>
      </w:r>
    </w:p>
    <w:p>
      <w:pPr>
        <w:numPr>
          <w:ilvl w:val="0"/>
          <w:numId w:val="1017"/>
        </w:numPr>
        <w:pStyle w:val="Compact"/>
      </w:pPr>
      <w:r>
        <w:t xml:space="preserve">ТД нового корпуса подключаются к контроллеру через ВОЛС‑1/ВОЛС‑2. При обрыве обеих ВОЛС ТД теряют связь с контроллером, поэтому подрядчик описывает поведение сети в этом случае (локальная коммутация трафика, сохранение работы клиентов) и настраивает её так, чтобы минимизировать влияние.</w:t>
      </w:r>
    </w:p>
    <w:p>
      <w:pPr>
        <w:numPr>
          <w:ilvl w:val="0"/>
          <w:numId w:val="1017"/>
        </w:numPr>
        <w:pStyle w:val="Compact"/>
      </w:pPr>
      <w:r>
        <w:t xml:space="preserve">Функции: централизованная настройка, автоматический/ручной частотный план (с возможностью фиксации ручного плана), мониторинг клиентов и ТД, журналы роуминга, отчёты, оповещения.</w:t>
      </w:r>
    </w:p>
    <w:p>
      <w:pPr>
        <w:numPr>
          <w:ilvl w:val="0"/>
          <w:numId w:val="1017"/>
        </w:numPr>
        <w:pStyle w:val="Compact"/>
      </w:pPr>
      <w:r>
        <w:t xml:space="preserve">Контроллер сейчас один: подрядчик оценивает риск и</w:t>
      </w:r>
      <w:r>
        <w:t xml:space="preserve"> </w:t>
      </w:r>
      <w:r>
        <w:rPr>
          <w:bCs/>
          <w:b/>
        </w:rPr>
        <w:t xml:space="preserve">опционально</w:t>
      </w:r>
      <w:r>
        <w:t xml:space="preserve"> </w:t>
      </w:r>
      <w:r>
        <w:t xml:space="preserve">предлагает резервирование (второй коммутатор ядра с функцией контроллера в режиме горячего резерва или иное решение Huawei) — отдельной позицией КП.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радиообследование"/>
    <w:p>
      <w:pPr>
        <w:pStyle w:val="Heading2"/>
      </w:pPr>
      <w:r>
        <w:t xml:space="preserve">10. Радиообследование</w:t>
      </w:r>
    </w:p>
    <w:p>
      <w:pPr>
        <w:pStyle w:val="FirstParagraph"/>
      </w:pPr>
      <w:r>
        <w:t xml:space="preserve">Радиообследование выполняется в</w:t>
      </w:r>
      <w:r>
        <w:t xml:space="preserve"> </w:t>
      </w:r>
      <w:r>
        <w:rPr>
          <w:bCs/>
          <w:b/>
        </w:rPr>
        <w:t xml:space="preserve">три этапа</w:t>
      </w:r>
      <w:r>
        <w:t xml:space="preserve">. Этапы 1 и 2 оцениваются в КП</w:t>
      </w:r>
      <w:r>
        <w:t xml:space="preserve"> </w:t>
      </w:r>
      <w:r>
        <w:rPr>
          <w:bCs/>
          <w:b/>
        </w:rPr>
        <w:t xml:space="preserve">отдельными позициями</w:t>
      </w:r>
      <w:r>
        <w:t xml:space="preserve">, чтобы заказчик мог заказать их до основного контракта.</w:t>
      </w:r>
    </w:p>
    <w:bookmarkStart w:id="56" w:name="X3b11500ac729fa6f0e9e193a86829b92a870d20"/>
    <w:p>
      <w:pPr>
        <w:pStyle w:val="Heading3"/>
      </w:pPr>
      <w:r>
        <w:t xml:space="preserve">10.1. Этап 1 — предиктивное моделирование (predictive)</w:t>
      </w:r>
    </w:p>
    <w:p>
      <w:pPr>
        <w:numPr>
          <w:ilvl w:val="0"/>
          <w:numId w:val="1018"/>
        </w:numPr>
        <w:pStyle w:val="Compact"/>
      </w:pPr>
      <w:r>
        <w:t xml:space="preserve">Инструмент: Ekahau AI Pro, Hamina, iBwave или аналог (указать в КП).</w:t>
      </w:r>
    </w:p>
    <w:p>
      <w:pPr>
        <w:numPr>
          <w:ilvl w:val="0"/>
          <w:numId w:val="1018"/>
        </w:numPr>
        <w:pStyle w:val="Compact"/>
      </w:pPr>
      <w:r>
        <w:t xml:space="preserve">Исходные данные: актуальные DWG/PDF корпуса, мезонинов, стеллажей; модели затухания: стены, ж/б плита мезонинов, металлические стеллажи</w:t>
      </w:r>
      <w:r>
        <w:t xml:space="preserve"> </w:t>
      </w:r>
      <w:r>
        <w:rPr>
          <w:bCs/>
          <w:b/>
        </w:rPr>
        <w:t xml:space="preserve">с заполнением товаром</w:t>
      </w:r>
      <w:r>
        <w:t xml:space="preserve"> </w:t>
      </w:r>
      <w:r>
        <w:t xml:space="preserve">(заказчик сообщает тип товара), ворота.</w:t>
      </w:r>
    </w:p>
    <w:p>
      <w:pPr>
        <w:numPr>
          <w:ilvl w:val="0"/>
          <w:numId w:val="1018"/>
        </w:numPr>
        <w:pStyle w:val="Compact"/>
      </w:pPr>
      <w:r>
        <w:t xml:space="preserve">Результат: предварительное число и места ТД, модель ТД/антенн (1–2 кандидата), частотный план, тепловые карты (Primary RSSI, Secondary RSSI, SNR, CCI, скорость передачи), список допущений модели.</w:t>
      </w:r>
    </w:p>
    <w:bookmarkEnd w:id="56"/>
    <w:bookmarkStart w:id="57" w:name="X5828a06f6e86daea67229ad77f0a96b6593bb12"/>
    <w:p>
      <w:pPr>
        <w:pStyle w:val="Heading3"/>
      </w:pPr>
      <w:r>
        <w:t xml:space="preserve">10.2. Этап 2 — натурное обследование (on-site, APoS)</w:t>
      </w:r>
    </w:p>
    <w:p>
      <w:pPr>
        <w:numPr>
          <w:ilvl w:val="0"/>
          <w:numId w:val="1019"/>
        </w:numPr>
        <w:pStyle w:val="Compact"/>
      </w:pPr>
      <w:r>
        <w:t xml:space="preserve">Проводится</w:t>
      </w:r>
      <w:r>
        <w:t xml:space="preserve"> </w:t>
      </w:r>
      <w:r>
        <w:rPr>
          <w:bCs/>
          <w:b/>
        </w:rPr>
        <w:t xml:space="preserve">на объекте после монтажа стеллажей</w:t>
      </w:r>
      <w:r>
        <w:t xml:space="preserve"> </w:t>
      </w:r>
      <w:r>
        <w:t xml:space="preserve">(желательно при частичном заполнении товаром); сроки — привязать к графику строительства (</w:t>
      </w:r>
      <w:r>
        <w:rPr>
          <w:bCs/>
          <w:b/>
        </w:rPr>
        <w:t xml:space="preserve">[Вопрос 17.12]</w:t>
      </w:r>
      <w:r>
        <w:t xml:space="preserve">).</w:t>
      </w:r>
    </w:p>
    <w:p>
      <w:pPr>
        <w:numPr>
          <w:ilvl w:val="0"/>
          <w:numId w:val="1019"/>
        </w:numPr>
        <w:pStyle w:val="Compact"/>
      </w:pPr>
      <w:r>
        <w:t xml:space="preserve">Метод: временная установка ТД выбранной модели с выбранными антеннами на планируемой высоте и в планируемых местах; измерения в проходах, под мезонинами и на них на высоте ТСД.</w:t>
      </w:r>
    </w:p>
    <w:p>
      <w:pPr>
        <w:numPr>
          <w:ilvl w:val="0"/>
          <w:numId w:val="1019"/>
        </w:numPr>
        <w:pStyle w:val="Compact"/>
      </w:pPr>
      <w:r>
        <w:t xml:space="preserve">Обязательно:</w:t>
      </w:r>
      <w:r>
        <w:t xml:space="preserve"> </w:t>
      </w:r>
      <w:r>
        <w:rPr>
          <w:bCs/>
          <w:b/>
        </w:rPr>
        <w:t xml:space="preserve">спектральный анализ</w:t>
      </w:r>
      <w:r>
        <w:t xml:space="preserve"> </w:t>
      </w:r>
      <w:r>
        <w:t xml:space="preserve">2,4/5 (/6) ГГц на наличие помех (в т.ч. от соседнего склада и оборудования), измерения с</w:t>
      </w:r>
      <w:r>
        <w:t xml:space="preserve"> </w:t>
      </w:r>
      <w:r>
        <w:rPr>
          <w:bCs/>
          <w:b/>
        </w:rPr>
        <w:t xml:space="preserve">реальным ТСД заказчика</w:t>
      </w:r>
      <w:r>
        <w:t xml:space="preserve"> </w:t>
      </w:r>
      <w:r>
        <w:t xml:space="preserve">и с</w:t>
      </w:r>
      <w:r>
        <w:t xml:space="preserve"> </w:t>
      </w:r>
      <w:r>
        <w:rPr>
          <w:bCs/>
          <w:b/>
        </w:rPr>
        <w:t xml:space="preserve">устаревшим устройством Wi‑Fi 4 на 2,4 ГГц</w:t>
      </w:r>
      <w:r>
        <w:t xml:space="preserve"> </w:t>
      </w:r>
      <w:r>
        <w:t xml:space="preserve">(заказчик предоставляет по 1–2 шт.).</w:t>
      </w:r>
    </w:p>
    <w:p>
      <w:pPr>
        <w:numPr>
          <w:ilvl w:val="0"/>
          <w:numId w:val="1019"/>
        </w:numPr>
        <w:pStyle w:val="Compact"/>
      </w:pPr>
      <w:r>
        <w:t xml:space="preserve">Результат: скорректированный проект размещения ТД, окончательная модель ТД и антенн, отчёт с тепловыми картами и фотографиями точек установки.</w:t>
      </w:r>
    </w:p>
    <w:bookmarkEnd w:id="57"/>
    <w:bookmarkStart w:id="58" w:name="X2222ba489acd00ab88293e8a41c6b4da2052e0b"/>
    <w:p>
      <w:pPr>
        <w:pStyle w:val="Heading3"/>
      </w:pPr>
      <w:r>
        <w:t xml:space="preserve">10.3. Этап 3 — приёмочное (пост-монтажное) обследование (validation)</w:t>
      </w:r>
    </w:p>
    <w:p>
      <w:pPr>
        <w:numPr>
          <w:ilvl w:val="0"/>
          <w:numId w:val="1020"/>
        </w:numPr>
        <w:pStyle w:val="Compact"/>
      </w:pPr>
      <w:r>
        <w:t xml:space="preserve">Пассивное обследование по всем зонам покрытия (Primary/Secondary RSSI, SNR, CCI, каналы).</w:t>
      </w:r>
    </w:p>
    <w:p>
      <w:pPr>
        <w:numPr>
          <w:ilvl w:val="0"/>
          <w:numId w:val="1020"/>
        </w:numPr>
        <w:pStyle w:val="Compact"/>
      </w:pPr>
      <w:r>
        <w:t xml:space="preserve">Активное обследование: пропускная способность, задержки, потери.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Тест роуминга ТСД:</w:t>
      </w:r>
      <w:r>
        <w:t xml:space="preserve"> </w:t>
      </w:r>
      <w:r>
        <w:t xml:space="preserve">проход по всем проходам и зонам с ТСД заказчика и непрерывным тестовым трафиком (ping/приложение WMS); фиксация времени переключения и потерь. Отдельно — тот же тест с устаревшим устройством Wi‑Fi 4 на 2,4 ГГц.</w:t>
      </w:r>
    </w:p>
    <w:p>
      <w:pPr>
        <w:numPr>
          <w:ilvl w:val="0"/>
          <w:numId w:val="1020"/>
        </w:numPr>
        <w:pStyle w:val="Compact"/>
      </w:pPr>
      <w:r>
        <w:t xml:space="preserve">Сравнение с требованиями 9.3; при несоответствии — исправление за счёт подрядчика и повторное обследование.</w:t>
      </w:r>
    </w:p>
    <w:p>
      <w:pPr>
        <w:numPr>
          <w:ilvl w:val="0"/>
          <w:numId w:val="1020"/>
        </w:numPr>
        <w:pStyle w:val="Compact"/>
      </w:pPr>
      <w:r>
        <w:t xml:space="preserve">Результат: отчёт с тепловыми картами «как построено», таблица соответствия, файл проекта инструмента обследования (.esx или аналог) — передаётся заказчику.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этапы-и-сроки"/>
    <w:p>
      <w:pPr>
        <w:pStyle w:val="Heading2"/>
      </w:pPr>
      <w:r>
        <w:t xml:space="preserve">11. Этапы и сроки</w:t>
      </w:r>
    </w:p>
    <w:p>
      <w:pPr>
        <w:pStyle w:val="FirstParagraph"/>
      </w:pPr>
      <w:r>
        <w:t xml:space="preserve">Сроки указываются подрядчиком в КП в</w:t>
      </w:r>
      <w:r>
        <w:t xml:space="preserve"> </w:t>
      </w:r>
      <w:r>
        <w:rPr>
          <w:bCs/>
          <w:b/>
        </w:rPr>
        <w:t xml:space="preserve">рабочих днях от события</w:t>
      </w:r>
      <w:r>
        <w:t xml:space="preserve"> </w:t>
      </w:r>
      <w:r>
        <w:t xml:space="preserve">(сроки строительства корпуса —</w:t>
      </w:r>
      <w:r>
        <w:t xml:space="preserve"> </w:t>
      </w:r>
      <w:r>
        <w:rPr>
          <w:bCs/>
          <w:b/>
        </w:rPr>
        <w:t xml:space="preserve">[Вопрос 17.12]</w:t>
      </w:r>
      <w:r>
        <w:t xml:space="preserve">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Условие начала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 (заполняет подрядчик)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Обследование объекта, сбор исходных данных, предиктивное радиомоделирование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Отчёт этапа 1 (10.1), предварительная схема ТШ и трасс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Договор, передача DWG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р.д.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Проектирование ЛВС/СКС/Wi‑Fi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Проект, спецификация, согласование с заказчиком и смежниками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Утверждение этапа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р.д.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Натурное радиообследование (APoS)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Отчёт этапа 2 (10.2), окончательное размещение ТД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Смонтированы стеллажи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р.д.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Поставка материалов и оборудования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Акты поставки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Утверждение проекта (для ТД — после этапа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р.д.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Монтаж кабеленесущих систем, ВОЛС, СКС, ТШ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Смонтированная СКС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Готовность строительной части, доступ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р.д.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Монтаж и настройка активного оборудования и ТД, интеграция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Работающая 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 5, питание ТШ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р.д.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Испытания: тестирование СКС/ВОЛС, приёмочное радиообследование, тест роуминга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Протоколы и отчёты (раздел 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р.д.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Передача ИД, обучение, подписание актов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Комплект ИД, акт приёмки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 7 без замечаний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р.д.</w:t>
            </w:r>
          </w:p>
        </w:tc>
      </w:tr>
    </w:tbl>
    <w:p>
      <w:pPr>
        <w:pStyle w:val="BodyText"/>
      </w:pPr>
      <w:r>
        <w:t xml:space="preserve">Подрядчик прикладывает к КП укрупнённый график (диаграмма Ганта) с указанием работ, зависящих от готовности здания и стеллажей.</w:t>
      </w:r>
    </w:p>
    <w:p>
      <w:r>
        <w:pict>
          <v:rect style="width:0;height:1.5pt" o:hralign="center" o:hrstd="t" o:hr="t"/>
        </w:pict>
      </w:r>
    </w:p>
    <w:bookmarkEnd w:id="60"/>
    <w:bookmarkStart w:id="61" w:name="X19b6245a0730719f5088b386f6ab9cfe8e055d1"/>
    <w:p>
      <w:pPr>
        <w:pStyle w:val="Heading2"/>
      </w:pPr>
      <w:r>
        <w:t xml:space="preserve">12. Состав исполнительной и проектной документации</w:t>
      </w:r>
    </w:p>
    <w:p>
      <w:pPr>
        <w:pStyle w:val="FirstParagraph"/>
      </w:pPr>
      <w:r>
        <w:t xml:space="preserve">Передаётся в электронном виде (</w:t>
      </w:r>
      <w:r>
        <w:rPr>
          <w:bCs/>
          <w:b/>
        </w:rPr>
        <w:t xml:space="preserve">DWG + PDF</w:t>
      </w:r>
      <w:r>
        <w:t xml:space="preserve">, отчёты — PDF, таблицы — XLSX) и в 2 экземплярах на бумаге (</w:t>
      </w:r>
      <w:r>
        <w:rPr>
          <w:bCs/>
          <w:b/>
        </w:rPr>
        <w:t xml:space="preserve">[Допущение]</w:t>
      </w:r>
      <w:r>
        <w:t xml:space="preserve">).</w:t>
      </w:r>
    </w:p>
    <w:p>
      <w:pPr>
        <w:numPr>
          <w:ilvl w:val="0"/>
          <w:numId w:val="1021"/>
        </w:numPr>
        <w:pStyle w:val="Compact"/>
      </w:pPr>
      <w:r>
        <w:t xml:space="preserve">Пояснительная записка: архитектура сети, обоснование количества и мест ТШ, расчёт длин линий, PoE-бюджет, расчёт ИБП и тепловыделения.</w:t>
      </w:r>
    </w:p>
    <w:p>
      <w:pPr>
        <w:numPr>
          <w:ilvl w:val="0"/>
          <w:numId w:val="1021"/>
        </w:numPr>
        <w:pStyle w:val="Compact"/>
      </w:pPr>
      <w:r>
        <w:t xml:space="preserve">Структурная схема ЛВС (физическая и логическая), схема резервирования.</w:t>
      </w:r>
    </w:p>
    <w:p>
      <w:pPr>
        <w:numPr>
          <w:ilvl w:val="0"/>
          <w:numId w:val="1021"/>
        </w:numPr>
        <w:pStyle w:val="Compact"/>
      </w:pPr>
      <w:r>
        <w:t xml:space="preserve">Планы трасс кабеленесущих систем и ВОЛС с отметками высот, проходками.</w:t>
      </w:r>
    </w:p>
    <w:p>
      <w:pPr>
        <w:numPr>
          <w:ilvl w:val="0"/>
          <w:numId w:val="1021"/>
        </w:numPr>
        <w:pStyle w:val="Compact"/>
      </w:pPr>
      <w:r>
        <w:t xml:space="preserve">Планы размещения розеток, ТД (с отметками высоты и способом крепления), ТШ.</w:t>
      </w:r>
    </w:p>
    <w:p>
      <w:pPr>
        <w:numPr>
          <w:ilvl w:val="0"/>
          <w:numId w:val="1021"/>
        </w:numPr>
        <w:pStyle w:val="Compact"/>
      </w:pPr>
      <w:r>
        <w:t xml:space="preserve">Фасады (схемы заполнения) ТШ.</w:t>
      </w:r>
    </w:p>
    <w:p>
      <w:pPr>
        <w:numPr>
          <w:ilvl w:val="0"/>
          <w:numId w:val="1021"/>
        </w:numPr>
        <w:pStyle w:val="Compact"/>
      </w:pPr>
      <w:r>
        <w:t xml:space="preserve">Кабельный журнал (номер, откуда–куда, тип, длина), таблицы кроссировок, порт-мапы коммутаторов.</w:t>
      </w:r>
    </w:p>
    <w:p>
      <w:pPr>
        <w:numPr>
          <w:ilvl w:val="0"/>
          <w:numId w:val="1021"/>
        </w:numPr>
        <w:pStyle w:val="Compact"/>
      </w:pPr>
      <w:r>
        <w:t xml:space="preserve">Схема маркировки и таблицы маркировки.</w:t>
      </w:r>
    </w:p>
    <w:p>
      <w:pPr>
        <w:numPr>
          <w:ilvl w:val="0"/>
          <w:numId w:val="1021"/>
        </w:numPr>
        <w:pStyle w:val="Compact"/>
      </w:pPr>
      <w:r>
        <w:t xml:space="preserve">Оптические кроссовые таблицы (распределение волокон).</w:t>
      </w:r>
    </w:p>
    <w:p>
      <w:pPr>
        <w:numPr>
          <w:ilvl w:val="0"/>
          <w:numId w:val="1021"/>
        </w:numPr>
        <w:pStyle w:val="Compact"/>
      </w:pPr>
      <w:r>
        <w:t xml:space="preserve">IP‑план, VLAN, SSID, настройки безопасности (без паролей в открытом виде; пароли — отдельным защищённым способом).</w:t>
      </w:r>
    </w:p>
    <w:p>
      <w:pPr>
        <w:numPr>
          <w:ilvl w:val="0"/>
          <w:numId w:val="1021"/>
        </w:numPr>
        <w:pStyle w:val="Compact"/>
      </w:pPr>
      <w:r>
        <w:t xml:space="preserve">Резервные копии конфигураций всего активного оборудования и системы управления Wi‑Fi.</w:t>
      </w:r>
    </w:p>
    <w:p>
      <w:pPr>
        <w:numPr>
          <w:ilvl w:val="0"/>
          <w:numId w:val="1021"/>
        </w:numPr>
        <w:pStyle w:val="Compact"/>
      </w:pPr>
      <w:r>
        <w:t xml:space="preserve">Отчёты радиообследований этапов 1–3, файлы проектов инструмента обследования.</w:t>
      </w:r>
    </w:p>
    <w:p>
      <w:pPr>
        <w:numPr>
          <w:ilvl w:val="0"/>
          <w:numId w:val="1021"/>
        </w:numPr>
        <w:pStyle w:val="Compact"/>
      </w:pPr>
      <w:r>
        <w:t xml:space="preserve">Протоколы тестирования СКС и ВОЛС (раздел 13) в исходном формате прибора (например, Fluke LinkWare) и PDF.</w:t>
      </w:r>
    </w:p>
    <w:p>
      <w:pPr>
        <w:numPr>
          <w:ilvl w:val="0"/>
          <w:numId w:val="1021"/>
        </w:numPr>
        <w:pStyle w:val="Compact"/>
      </w:pPr>
      <w:r>
        <w:t xml:space="preserve">Протоколы измерения сопротивления заземления, акты скрытых работ, акты на огнезащиту проходок.</w:t>
      </w:r>
    </w:p>
    <w:p>
      <w:pPr>
        <w:numPr>
          <w:ilvl w:val="0"/>
          <w:numId w:val="1021"/>
        </w:numPr>
        <w:pStyle w:val="Compact"/>
      </w:pPr>
      <w:r>
        <w:t xml:space="preserve">Паспорта, сертификаты/декларации соответствия, гарантийные талоны; серийные номера и лицензии оборудования.</w:t>
      </w:r>
    </w:p>
    <w:p>
      <w:pPr>
        <w:numPr>
          <w:ilvl w:val="0"/>
          <w:numId w:val="1021"/>
        </w:numPr>
        <w:pStyle w:val="Compact"/>
      </w:pPr>
      <w:r>
        <w:t xml:space="preserve">Сертификат системной гарантии производителя СКС (если предусмотрено, п. 14).</w:t>
      </w:r>
    </w:p>
    <w:p>
      <w:pPr>
        <w:numPr>
          <w:ilvl w:val="0"/>
          <w:numId w:val="1021"/>
        </w:numPr>
        <w:pStyle w:val="Compact"/>
      </w:pPr>
      <w:r>
        <w:t xml:space="preserve">Инструкция по эксплуатации и программа обучения.</w:t>
      </w:r>
    </w:p>
    <w:p>
      <w:r>
        <w:pict>
          <v:rect style="width:0;height:1.5pt" o:hralign="center" o:hrstd="t" o:hr="t"/>
        </w:pict>
      </w:r>
    </w:p>
    <w:bookmarkEnd w:id="61"/>
    <w:bookmarkStart w:id="67" w:name="приёмка-и-тестирование"/>
    <w:p>
      <w:pPr>
        <w:pStyle w:val="Heading2"/>
      </w:pPr>
      <w:r>
        <w:t xml:space="preserve">13. Приёмка и тестирование</w:t>
      </w:r>
    </w:p>
    <w:bookmarkStart w:id="62" w:name="медная-скс"/>
    <w:p>
      <w:pPr>
        <w:pStyle w:val="Heading3"/>
      </w:pPr>
      <w:r>
        <w:t xml:space="preserve">13.1. Медная СКС</w:t>
      </w:r>
    </w:p>
    <w:p>
      <w:pPr>
        <w:numPr>
          <w:ilvl w:val="0"/>
          <w:numId w:val="1022"/>
        </w:numPr>
        <w:pStyle w:val="Compact"/>
      </w:pPr>
      <w:r>
        <w:t xml:space="preserve">100% линий тестируются кабельным анализатором уровня сертификации (</w:t>
      </w:r>
      <w:r>
        <w:rPr>
          <w:bCs/>
          <w:b/>
        </w:rPr>
        <w:t xml:space="preserve">Fluke Networks DSX CableAnalyzer</w:t>
      </w:r>
      <w:r>
        <w:t xml:space="preserve"> </w:t>
      </w:r>
      <w:r>
        <w:t xml:space="preserve">или эквивалент с актуальной калибровкой; сертификат калибровки прикладывается).</w:t>
      </w:r>
    </w:p>
    <w:p>
      <w:pPr>
        <w:numPr>
          <w:ilvl w:val="0"/>
          <w:numId w:val="1022"/>
        </w:numPr>
        <w:pStyle w:val="Compact"/>
      </w:pPr>
      <w:r>
        <w:t xml:space="preserve">Тест постоянной линии (Permanent Link) по классу EA (Cat.6A) / E (Cat.6) по ISO/IEC 11801 / TIA‑568.2‑D; в отчётах — все параметры, результат PASS без «*» (marginal pass) —</w:t>
      </w:r>
      <w:r>
        <w:t xml:space="preserve"> </w:t>
      </w:r>
      <w:r>
        <w:rPr>
          <w:bCs/>
          <w:b/>
        </w:rPr>
        <w:t xml:space="preserve">[Допущение: marginal pass не допускается]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Для экранированной системы — проверка целостности экрана.</w:t>
      </w:r>
    </w:p>
    <w:bookmarkEnd w:id="62"/>
    <w:bookmarkStart w:id="63" w:name="волс"/>
    <w:p>
      <w:pPr>
        <w:pStyle w:val="Heading3"/>
      </w:pPr>
      <w:r>
        <w:t xml:space="preserve">13.2. ВОЛС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Tier 1 (OLTS):</w:t>
      </w:r>
      <w:r>
        <w:t xml:space="preserve"> </w:t>
      </w:r>
      <w:r>
        <w:t xml:space="preserve">измерение вносимых потерь на длинах волн 1310/1550 нм в обоих направлениях; соответствие расчётному бюджету.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Tier 2 (OTDR):</w:t>
      </w:r>
      <w:r>
        <w:t xml:space="preserve"> </w:t>
      </w:r>
      <w:r>
        <w:t xml:space="preserve">рефлектограммы каждого волокна с обоих концов (1310/1550 нм), с событиями (сварки, разъёмы).</w:t>
      </w:r>
    </w:p>
    <w:p>
      <w:pPr>
        <w:numPr>
          <w:ilvl w:val="0"/>
          <w:numId w:val="1023"/>
        </w:numPr>
        <w:pStyle w:val="Compact"/>
      </w:pPr>
      <w:r>
        <w:t xml:space="preserve">Инспекция торцов разъёмов (видеомикроскоп), отчёт.</w:t>
      </w:r>
    </w:p>
    <w:bookmarkEnd w:id="63"/>
    <w:bookmarkStart w:id="64" w:name="активное-оборудование-и-сеть"/>
    <w:p>
      <w:pPr>
        <w:pStyle w:val="Heading3"/>
      </w:pPr>
      <w:r>
        <w:t xml:space="preserve">13.3. Активное оборудование и сеть</w:t>
      </w:r>
    </w:p>
    <w:p>
      <w:pPr>
        <w:numPr>
          <w:ilvl w:val="0"/>
          <w:numId w:val="1024"/>
        </w:numPr>
        <w:pStyle w:val="Compact"/>
      </w:pPr>
      <w:r>
        <w:t xml:space="preserve">Проверка всех портов и uplink, PoE (фактическое потребление), стека/MLAG.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Тест отказоустойчивости:</w:t>
      </w:r>
      <w:r>
        <w:t xml:space="preserve"> </w:t>
      </w:r>
      <w:r>
        <w:t xml:space="preserve">поочерёдное отключение ВОЛС‑1, ВОЛС‑2, ВОЛС‑3, одного БП, одного коммутатора стека; фиксация времени восстановления и отсутствия потери связи ТШ с серверной.</w:t>
      </w:r>
    </w:p>
    <w:p>
      <w:pPr>
        <w:numPr>
          <w:ilvl w:val="0"/>
          <w:numId w:val="1024"/>
        </w:numPr>
        <w:pStyle w:val="Compact"/>
      </w:pPr>
      <w:r>
        <w:t xml:space="preserve">Проверка работы ИБП (переход на батареи, уведомления в мониторинг).</w:t>
      </w:r>
    </w:p>
    <w:p>
      <w:pPr>
        <w:numPr>
          <w:ilvl w:val="0"/>
          <w:numId w:val="1024"/>
        </w:numPr>
        <w:pStyle w:val="Compact"/>
      </w:pPr>
      <w:r>
        <w:t xml:space="preserve">Интеграция с системой мониторинга заказчика (SNMP/Syslog).</w:t>
      </w:r>
    </w:p>
    <w:bookmarkEnd w:id="64"/>
    <w:bookmarkStart w:id="65" w:name="wifi"/>
    <w:p>
      <w:pPr>
        <w:pStyle w:val="Heading3"/>
      </w:pPr>
      <w:r>
        <w:t xml:space="preserve">13.4. Wi‑Fi</w:t>
      </w:r>
    </w:p>
    <w:p>
      <w:pPr>
        <w:numPr>
          <w:ilvl w:val="0"/>
          <w:numId w:val="1025"/>
        </w:numPr>
        <w:pStyle w:val="Compact"/>
      </w:pPr>
      <w:r>
        <w:t xml:space="preserve">Приёмочное радиообследование (10.3) и тест роуминга ТСД — соответствие п. 9.3.</w:t>
      </w:r>
    </w:p>
    <w:p>
      <w:pPr>
        <w:numPr>
          <w:ilvl w:val="0"/>
          <w:numId w:val="1025"/>
        </w:numPr>
        <w:pStyle w:val="Compact"/>
      </w:pPr>
      <w:r>
        <w:t xml:space="preserve">Проверка работы WMS/рабочих приложений на ТСД во всех зонах (совместно с заказчиком).</w:t>
      </w:r>
    </w:p>
    <w:bookmarkEnd w:id="65"/>
    <w:bookmarkStart w:id="66" w:name="порядок-приёмки"/>
    <w:p>
      <w:pPr>
        <w:pStyle w:val="Heading3"/>
      </w:pPr>
      <w:r>
        <w:t xml:space="preserve">13.5. Порядок приёмки</w:t>
      </w:r>
    </w:p>
    <w:p>
      <w:pPr>
        <w:numPr>
          <w:ilvl w:val="0"/>
          <w:numId w:val="1026"/>
        </w:numPr>
        <w:pStyle w:val="Compact"/>
      </w:pPr>
      <w:r>
        <w:t xml:space="preserve">Подрядчик уведомляет о готовности, передаёт протоколы за [5] рабочих дней до приёмки.</w:t>
      </w:r>
    </w:p>
    <w:p>
      <w:pPr>
        <w:numPr>
          <w:ilvl w:val="0"/>
          <w:numId w:val="1026"/>
        </w:numPr>
        <w:pStyle w:val="Compact"/>
      </w:pPr>
      <w:r>
        <w:t xml:space="preserve">Совместный осмотр, выборочные контрольные измерения представителем заказчика (или привлечённым экспертом).</w:t>
      </w:r>
    </w:p>
    <w:p>
      <w:pPr>
        <w:numPr>
          <w:ilvl w:val="0"/>
          <w:numId w:val="1026"/>
        </w:numPr>
        <w:pStyle w:val="Compact"/>
      </w:pPr>
      <w:r>
        <w:t xml:space="preserve">Замечания устраняются за счёт подрядчика в согласованный срок; повторные испытания.</w:t>
      </w:r>
    </w:p>
    <w:p>
      <w:pPr>
        <w:numPr>
          <w:ilvl w:val="0"/>
          <w:numId w:val="1026"/>
        </w:numPr>
        <w:pStyle w:val="Compact"/>
      </w:pPr>
      <w:r>
        <w:t xml:space="preserve">Подписание акта приёмки — после устранения замечаний и передачи полного комплекта ИД.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гарантия"/>
    <w:p>
      <w:pPr>
        <w:pStyle w:val="Heading2"/>
      </w:pPr>
      <w:r>
        <w:t xml:space="preserve">14. Гарантия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Объект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Минимальный срок (подрядчик может предложить больше)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Строительно-монтажные работы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 месяца</w:t>
            </w:r>
            <w:r>
              <w:t xml:space="preserve"> </w:t>
            </w:r>
            <w:r>
              <w:t xml:space="preserve">с даты подписания акта</w:t>
            </w:r>
            <w:r>
              <w:t xml:space="preserve"> </w:t>
            </w:r>
            <w:r>
              <w:rPr>
                <w:bCs/>
                <w:b/>
              </w:rPr>
              <w:t xml:space="preserve">[Допущение]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СКС (система одного производителя)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Системная гарантия производителя</w:t>
            </w:r>
            <w:r>
              <w:t xml:space="preserve"> </w:t>
            </w:r>
            <w:r>
              <w:rPr>
                <w:bCs/>
                <w:b/>
              </w:rPr>
              <w:t xml:space="preserve">не менее 15 лет</w:t>
            </w:r>
            <w:r>
              <w:t xml:space="preserve"> </w:t>
            </w:r>
            <w:r>
              <w:t xml:space="preserve">(при наличии программы; указать в КП)</w:t>
            </w:r>
            <w:r>
              <w:t xml:space="preserve"> </w:t>
            </w:r>
            <w:r>
              <w:rPr>
                <w:bCs/>
                <w:b/>
              </w:rPr>
              <w:t xml:space="preserve">[Допущение]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Активное оборудование, ТД, ИБП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Гарантия производителя (указать срок); сервисный контракт на 1/3/5 лет — опционально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АКБ ИБП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Указать срок</w:t>
            </w:r>
          </w:p>
        </w:tc>
      </w:tr>
    </w:tbl>
    <w:p>
      <w:pPr>
        <w:numPr>
          <w:ilvl w:val="0"/>
          <w:numId w:val="1027"/>
        </w:numPr>
        <w:pStyle w:val="Compact"/>
      </w:pPr>
      <w:r>
        <w:t xml:space="preserve">Время реакции на гарантийное обращение:</w:t>
      </w:r>
      <w:r>
        <w:t xml:space="preserve"> </w:t>
      </w:r>
      <w:r>
        <w:rPr>
          <w:bCs/>
          <w:b/>
        </w:rPr>
        <w:t xml:space="preserve">не более 1 рабочего дня</w:t>
      </w:r>
      <w:r>
        <w:t xml:space="preserve">, для критичных отказов (потеря связи зоны склада) — выезд</w:t>
      </w:r>
      <w:r>
        <w:t xml:space="preserve"> </w:t>
      </w:r>
      <w:r>
        <w:rPr>
          <w:bCs/>
          <w:b/>
        </w:rPr>
        <w:t xml:space="preserve">не более 8 часов</w:t>
      </w:r>
      <w:r>
        <w:t xml:space="preserve"> </w:t>
      </w:r>
      <w:r>
        <w:t xml:space="preserve">[Допущение, обсуждается].</w:t>
      </w:r>
    </w:p>
    <w:p>
      <w:pPr>
        <w:numPr>
          <w:ilvl w:val="0"/>
          <w:numId w:val="1027"/>
        </w:numPr>
        <w:pStyle w:val="Compact"/>
      </w:pPr>
      <w:r>
        <w:t xml:space="preserve">Подрядчик указывает стоимость постгарантийного обслуживания (SLA) — опционально.</w:t>
      </w:r>
    </w:p>
    <w:p>
      <w:r>
        <w:pict>
          <v:rect style="width:0;height:1.5pt" o:hralign="center" o:hrstd="t" o:hr="t"/>
        </w:pict>
      </w:r>
    </w:p>
    <w:bookmarkEnd w:id="68"/>
    <w:bookmarkStart w:id="69" w:name="требования-к-подрядчику"/>
    <w:p>
      <w:pPr>
        <w:pStyle w:val="Heading2"/>
      </w:pPr>
      <w:r>
        <w:t xml:space="preserve">15. Требования к подрядчику</w:t>
      </w:r>
    </w:p>
    <w:p>
      <w:pPr>
        <w:numPr>
          <w:ilvl w:val="0"/>
          <w:numId w:val="1028"/>
        </w:numPr>
        <w:pStyle w:val="Compact"/>
      </w:pPr>
      <w:r>
        <w:t xml:space="preserve">Опыт: не менее</w:t>
      </w:r>
      <w:r>
        <w:t xml:space="preserve"> </w:t>
      </w:r>
      <w:r>
        <w:rPr>
          <w:bCs/>
          <w:b/>
        </w:rPr>
        <w:t xml:space="preserve">3 завершённых проектов</w:t>
      </w:r>
      <w:r>
        <w:t xml:space="preserve"> </w:t>
      </w:r>
      <w:r>
        <w:t xml:space="preserve">Wi‑Fi для складов/производств с ТСД и высотными стеллажами за последние 5 лет — с контактами заказчиков для рекомендаций.</w:t>
      </w:r>
    </w:p>
    <w:p>
      <w:pPr>
        <w:numPr>
          <w:ilvl w:val="0"/>
          <w:numId w:val="1028"/>
        </w:numPr>
        <w:pStyle w:val="Compact"/>
      </w:pPr>
      <w:r>
        <w:t xml:space="preserve">Специалисты: сертифицированный инженер по проектированию беспроводных сетей (</w:t>
      </w:r>
      <w:r>
        <w:rPr>
          <w:bCs/>
          <w:b/>
        </w:rPr>
        <w:t xml:space="preserve">сертификация Huawei по WLAN</w:t>
      </w:r>
      <w:r>
        <w:t xml:space="preserve"> </w:t>
      </w:r>
      <w:r>
        <w:t xml:space="preserve">— HCIP‑WLAN или выше, и/или CWNA/CWDP, Ekahau ECSE); инженер по СКС с сертификацией производителя СКС; сетевой инженер с сертификацией производителя коммутаторов.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Статус партнёра Huawei</w:t>
      </w:r>
      <w:r>
        <w:t xml:space="preserve"> </w:t>
      </w:r>
      <w:r>
        <w:t xml:space="preserve">(обязательно) и опыт настройки ТД Huawei на встроенном контроллере коммутатора; статус партнёра производителя СКС (для системной гарантии).</w:t>
      </w:r>
    </w:p>
    <w:p>
      <w:pPr>
        <w:numPr>
          <w:ilvl w:val="0"/>
          <w:numId w:val="1028"/>
        </w:numPr>
        <w:pStyle w:val="Compact"/>
      </w:pPr>
      <w:r>
        <w:t xml:space="preserve">Собственное или арендованное измерительное оборудование: сертификационный кабельный анализатор (Fluke DSX или эквивалент), OTDR и OLTS, инструмент радиообследования (Ekahau Sidekick или эквивалент), спектроанализатор.</w:t>
      </w:r>
    </w:p>
    <w:p>
      <w:pPr>
        <w:numPr>
          <w:ilvl w:val="0"/>
          <w:numId w:val="1028"/>
        </w:numPr>
        <w:pStyle w:val="Compact"/>
      </w:pPr>
      <w:r>
        <w:t xml:space="preserve">Наличие разрешительных документов, необходимых по законодательству РБ для данного вида работ (подрядчик указывает, какие именно требуются и прикладывает копии).</w:t>
      </w:r>
    </w:p>
    <w:p>
      <w:pPr>
        <w:numPr>
          <w:ilvl w:val="0"/>
          <w:numId w:val="1028"/>
        </w:numPr>
        <w:pStyle w:val="Compact"/>
      </w:pPr>
      <w:r>
        <w:t xml:space="preserve">Персонал с допуском к работам на высоте и по электробезопасности.</w:t>
      </w:r>
    </w:p>
    <w:p>
      <w:pPr>
        <w:numPr>
          <w:ilvl w:val="0"/>
          <w:numId w:val="1028"/>
        </w:numPr>
        <w:pStyle w:val="Compact"/>
      </w:pPr>
      <w:r>
        <w:t xml:space="preserve">Страхование ответственности — желательно.</w:t>
      </w:r>
    </w:p>
    <w:p>
      <w:pPr>
        <w:numPr>
          <w:ilvl w:val="0"/>
          <w:numId w:val="1028"/>
        </w:numPr>
        <w:pStyle w:val="Compact"/>
      </w:pPr>
      <w:r>
        <w:t xml:space="preserve">Готовность работать на действующей строительной площадке по графику генподрядчика.</w:t>
      </w:r>
    </w:p>
    <w:p>
      <w:r>
        <w:pict>
          <v:rect style="width:0;height:1.5pt" o:hralign="center" o:hrstd="t" o:hr="t"/>
        </w:pict>
      </w:r>
    </w:p>
    <w:bookmarkEnd w:id="69"/>
    <w:bookmarkStart w:id="70" w:name="состав-коммерческого-предложения"/>
    <w:p>
      <w:pPr>
        <w:pStyle w:val="Heading2"/>
      </w:pPr>
      <w:r>
        <w:t xml:space="preserve">16. Состав коммерческого предложения</w:t>
      </w:r>
    </w:p>
    <w:p>
      <w:pPr>
        <w:pStyle w:val="FirstParagraph"/>
      </w:pPr>
      <w:r>
        <w:t xml:space="preserve">КП должно содержать:</w:t>
      </w:r>
    </w:p>
    <w:p>
      <w:pPr>
        <w:numPr>
          <w:ilvl w:val="0"/>
          <w:numId w:val="1029"/>
        </w:numPr>
        <w:pStyle w:val="Compact"/>
      </w:pPr>
      <w:r>
        <w:t xml:space="preserve">Краткое описание предлагаемого технического решения (архитектура, количество ТШ и обоснование, модели коммутаторов и ТД Huawei, результат проверки совместимости с существующим ядром и контроллером).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Раздельные цены</w:t>
      </w:r>
      <w:r>
        <w:t xml:space="preserve"> </w:t>
      </w:r>
      <w:r>
        <w:t xml:space="preserve">(с НДС и без):</w:t>
      </w:r>
    </w:p>
    <w:p>
      <w:pPr>
        <w:numPr>
          <w:ilvl w:val="1"/>
          <w:numId w:val="1030"/>
        </w:numPr>
        <w:pStyle w:val="Compact"/>
      </w:pPr>
      <w:r>
        <w:t xml:space="preserve">2.1. Радиообследование: этап 1 (предиктив), этап 2 (APoS), этап 3 (приёмочное) — отдельно;</w:t>
      </w:r>
    </w:p>
    <w:p>
      <w:pPr>
        <w:numPr>
          <w:ilvl w:val="1"/>
          <w:numId w:val="1030"/>
        </w:numPr>
        <w:pStyle w:val="Compact"/>
      </w:pPr>
      <w:r>
        <w:t xml:space="preserve">2.2. Проектирование;</w:t>
      </w:r>
    </w:p>
    <w:p>
      <w:pPr>
        <w:numPr>
          <w:ilvl w:val="1"/>
          <w:numId w:val="1030"/>
        </w:numPr>
        <w:pStyle w:val="Compact"/>
      </w:pPr>
      <w:r>
        <w:t xml:space="preserve">2.3. Материалы СКС и ВОЛС (спецификация с ценами за единицу);</w:t>
      </w:r>
    </w:p>
    <w:p>
      <w:pPr>
        <w:numPr>
          <w:ilvl w:val="1"/>
          <w:numId w:val="1030"/>
        </w:numPr>
        <w:pStyle w:val="Compact"/>
      </w:pPr>
      <w:r>
        <w:t xml:space="preserve">2.4. ТШ, ИБП, заземление;</w:t>
      </w:r>
    </w:p>
    <w:p>
      <w:pPr>
        <w:numPr>
          <w:ilvl w:val="1"/>
          <w:numId w:val="1030"/>
        </w:numPr>
        <w:pStyle w:val="Compact"/>
      </w:pPr>
      <w:r>
        <w:t xml:space="preserve">2.5. Активное оборудование Huawei (коммутаторы, ТД, оптические модули) и лицензии ТД на существующий контроллер; сервисная поддержка на 1/3/5 лет; опционально — резервирование контроллера (п. 9.6);</w:t>
      </w:r>
    </w:p>
    <w:p>
      <w:pPr>
        <w:numPr>
          <w:ilvl w:val="1"/>
          <w:numId w:val="1030"/>
        </w:numPr>
        <w:pStyle w:val="Compact"/>
      </w:pPr>
      <w:r>
        <w:t xml:space="preserve">2.6. Монтажные и пусконаладочные работы;</w:t>
      </w:r>
    </w:p>
    <w:p>
      <w:pPr>
        <w:numPr>
          <w:ilvl w:val="1"/>
          <w:numId w:val="1030"/>
        </w:numPr>
        <w:pStyle w:val="Compact"/>
      </w:pPr>
      <w:r>
        <w:t xml:space="preserve">2.7. Испытания и исполнительная документация;</w:t>
      </w:r>
    </w:p>
    <w:p>
      <w:pPr>
        <w:numPr>
          <w:ilvl w:val="1"/>
          <w:numId w:val="1030"/>
        </w:numPr>
        <w:pStyle w:val="Compact"/>
      </w:pPr>
      <w:r>
        <w:t xml:space="preserve">2.8. Подъёмные механизмы/подмости (если включены).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Цены за единицу</w:t>
      </w:r>
      <w:r>
        <w:t xml:space="preserve"> </w:t>
      </w:r>
      <w:r>
        <w:t xml:space="preserve">для пересчёта объёма: ТД «под ключ»; медная линия (Cat.6 / Cat.6A) средней длины; рабочее место (2 порта); дополнительный ТШ (с ИБП и коммутатором); дополнительная ВОЛС (за метр и за оконцевание); прочая точка (принтер/сканер/зарядная станция).</w:t>
      </w:r>
    </w:p>
    <w:p>
      <w:pPr>
        <w:numPr>
          <w:ilvl w:val="0"/>
          <w:numId w:val="1029"/>
        </w:numPr>
        <w:pStyle w:val="Compact"/>
      </w:pPr>
      <w:r>
        <w:t xml:space="preserve">Сроки по этапам (раздел 11) и график.</w:t>
      </w:r>
    </w:p>
    <w:p>
      <w:pPr>
        <w:numPr>
          <w:ilvl w:val="0"/>
          <w:numId w:val="1029"/>
        </w:numPr>
        <w:pStyle w:val="Compact"/>
      </w:pPr>
      <w:r>
        <w:t xml:space="preserve">Условия оплаты, срок действия КП, срок поставки оборудования.</w:t>
      </w:r>
    </w:p>
    <w:p>
      <w:pPr>
        <w:numPr>
          <w:ilvl w:val="0"/>
          <w:numId w:val="1029"/>
        </w:numPr>
        <w:pStyle w:val="Compact"/>
      </w:pPr>
      <w:r>
        <w:t xml:space="preserve">Гарантийные обязательства (раздел 14), SLA.</w:t>
      </w:r>
    </w:p>
    <w:p>
      <w:pPr>
        <w:numPr>
          <w:ilvl w:val="0"/>
          <w:numId w:val="1029"/>
        </w:numPr>
        <w:pStyle w:val="Compact"/>
      </w:pPr>
      <w:r>
        <w:t xml:space="preserve">Перечень допущений и исключений подрядчика; перечень исходных данных и условий, необходимых от заказчика.</w:t>
      </w:r>
    </w:p>
    <w:p>
      <w:pPr>
        <w:numPr>
          <w:ilvl w:val="0"/>
          <w:numId w:val="1029"/>
        </w:numPr>
        <w:pStyle w:val="Compact"/>
      </w:pPr>
      <w:r>
        <w:t xml:space="preserve">Сведения о подрядчике: референс-проекты, сертификаты специалистов и партнёрские статусы, разрешительные документы.</w:t>
      </w:r>
    </w:p>
    <w:p>
      <w:pPr>
        <w:numPr>
          <w:ilvl w:val="0"/>
          <w:numId w:val="1029"/>
        </w:numPr>
        <w:pStyle w:val="Compact"/>
      </w:pPr>
      <w:r>
        <w:t xml:space="preserve">Ответы/позиция подрядчика по открытым вопросам раздела 17 (где подрядчик может предложить решение).</w:t>
      </w:r>
    </w:p>
    <w:p>
      <w:pPr>
        <w:pStyle w:val="FirstParagraph"/>
      </w:pPr>
      <w:r>
        <w:t xml:space="preserve">Форма подачи: PDF + XLSX (спецификация). Срок подачи и контакт для вопросов — [заполнить]. Вопросы по ТЗ принимаются письменно; ответы рассылаются всем участникам.</w:t>
      </w:r>
    </w:p>
    <w:p>
      <w:r>
        <w:pict>
          <v:rect style="width:0;height:1.5pt" o:hralign="center" o:hrstd="t" o:hr="t"/>
        </w:pict>
      </w:r>
    </w:p>
    <w:bookmarkEnd w:id="70"/>
    <w:bookmarkStart w:id="85" w:name="ответы-заказчика-и-открытые-вопросы"/>
    <w:p>
      <w:pPr>
        <w:pStyle w:val="Heading2"/>
      </w:pPr>
      <w:r>
        <w:t xml:space="preserve">17. Ответы заказчика и открытые вопросы</w:t>
      </w:r>
    </w:p>
    <w:bookmarkStart w:id="71" w:name="Xe570a1ae69ad5f5f735fad4798d9aff6d1798ab"/>
    <w:p>
      <w:pPr>
        <w:pStyle w:val="Heading3"/>
      </w:pPr>
      <w:r>
        <w:t xml:space="preserve">17.0. Принятые решения (ответы заказчика от 27.09.2026)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Клиенты 2,4 ГГц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 устаревшие устройства Wi‑Fi 4 (802.11n), только 2,4 ГГц → 2,4 ГГц обязателен (п. 9.2)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Рабочие места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20 на мезонин — предварительно, с запасом; фактически, скорее всего, будет меньше (п. 6.3)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Видеонаблюдение, СКУД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Проектируются отдельно, вне объёма (п. 4.2)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Серверная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основном складе, к которому вплотную примыкает новый корпус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кабеля OS2 по 12 волокон: серверная → ТШ‑1, серверная → ТШ‑2, ТШ‑1 ↔ ТШ‑2; плюс по 2 на каждый доп. ТШ (п. 6.2)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Производитель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Активное оборудование — только Huawei, как ядро основного склада (пп. 4.3, 8.1)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Контроллер Wi‑Fi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Существующий, на коммутаторе ядра основного склада (п. 9.6)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Электропитание ТШ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ведущего инженера проекта (ГИП): подрядчик ЛВС после проектирования выдаёт ему задание с нагрузками и местами ТШ (пп. 4.1, 7)</w:t>
            </w:r>
          </w:p>
        </w:tc>
      </w:tr>
    </w:tbl>
    <w:bookmarkEnd w:id="71"/>
    <w:bookmarkStart w:id="72" w:name="открытые-вопросы"/>
    <w:p>
      <w:pPr>
        <w:pStyle w:val="Heading3"/>
      </w:pPr>
      <w:r>
        <w:t xml:space="preserve">Открытые вопросы</w:t>
      </w:r>
    </w:p>
    <w:p>
      <w:pPr>
        <w:pStyle w:val="FirstParagraph"/>
      </w:pPr>
      <w:r>
        <w:t xml:space="preserve">Ответы желательно получить</w:t>
      </w:r>
      <w:r>
        <w:t xml:space="preserve"> </w:t>
      </w:r>
      <w:r>
        <w:rPr>
          <w:bCs/>
          <w:b/>
        </w:rPr>
        <w:t xml:space="preserve">до рассылки ТЗ</w:t>
      </w:r>
      <w:r>
        <w:t xml:space="preserve"> </w:t>
      </w:r>
      <w:r>
        <w:t xml:space="preserve">(пункты с ★) или приложить к ТЗ как «будет уточнено на этапе 1». Нумерация подразделов сохранена для ссылок из текста ТЗ.</w:t>
      </w:r>
    </w:p>
    <w:bookmarkEnd w:id="72"/>
    <w:bookmarkStart w:id="73" w:name="тсд-и-клиенты-wifi"/>
    <w:p>
      <w:pPr>
        <w:pStyle w:val="Heading3"/>
      </w:pPr>
      <w:r>
        <w:t xml:space="preserve">17.1. ТСД и клиенты Wi‑Fi ★</w:t>
      </w:r>
    </w:p>
    <w:p>
      <w:pPr>
        <w:numPr>
          <w:ilvl w:val="0"/>
          <w:numId w:val="1031"/>
        </w:numPr>
        <w:pStyle w:val="Compact"/>
      </w:pPr>
      <w:r>
        <w:t xml:space="preserve">Модели современных ТСД (производитель, модель, поддержка 5/6 ГГц, DFS, 802.11r/k/v, WPA3), количество сейчас и через 3 года, сколько работает одновременно в смену.</w:t>
      </w:r>
    </w:p>
    <w:p>
      <w:pPr>
        <w:numPr>
          <w:ilvl w:val="0"/>
          <w:numId w:val="1031"/>
        </w:numPr>
        <w:pStyle w:val="Compact"/>
      </w:pPr>
      <w:r>
        <w:t xml:space="preserve">Устаревшие устройства Wi‑Fi 4 на 2,4 ГГц: что это (модели), сколько, в каких зонах работают, планируется ли их замена?</w:t>
      </w:r>
    </w:p>
    <w:p>
      <w:pPr>
        <w:numPr>
          <w:ilvl w:val="0"/>
          <w:numId w:val="1031"/>
        </w:numPr>
        <w:pStyle w:val="Compact"/>
      </w:pPr>
      <w:r>
        <w:t xml:space="preserve">Используются ли терминалы на погрузчиках, голос/Push-to-Talk на ТСД, приложения, чувствительные к обрывам (терминальный доступ, веб-WMS)?</w:t>
      </w:r>
    </w:p>
    <w:p>
      <w:pPr>
        <w:numPr>
          <w:ilvl w:val="0"/>
          <w:numId w:val="1031"/>
        </w:numPr>
        <w:pStyle w:val="Compact"/>
      </w:pPr>
      <w:r>
        <w:t xml:space="preserve">Какие погрузчики (ричтраки, VNA с поднимающимся оператором)? Нужна ли связь на высоте?</w:t>
      </w:r>
    </w:p>
    <w:p>
      <w:pPr>
        <w:numPr>
          <w:ilvl w:val="0"/>
          <w:numId w:val="1031"/>
        </w:numPr>
        <w:pStyle w:val="Compact"/>
      </w:pPr>
      <w:r>
        <w:t xml:space="preserve">Нужен ли гостевой Wi‑Fi / Wi‑Fi для ноутбуков и телефонов сотрудников?</w:t>
      </w:r>
    </w:p>
    <w:bookmarkEnd w:id="73"/>
    <w:bookmarkStart w:id="74" w:name="строительная-часть-вопросы-к-гип"/>
    <w:p>
      <w:pPr>
        <w:pStyle w:val="Heading3"/>
      </w:pPr>
      <w:r>
        <w:t xml:space="preserve">17.2. Строительная часть ★ (вопросы к ГИП)</w:t>
      </w:r>
    </w:p>
    <w:p>
      <w:pPr>
        <w:numPr>
          <w:ilvl w:val="0"/>
          <w:numId w:val="1032"/>
        </w:numPr>
        <w:pStyle w:val="Compact"/>
      </w:pPr>
      <w:r>
        <w:t xml:space="preserve">Актуальные чертежи АР/КМ здания (разрезы, высота до низа ферм, покрытие), разделы ЭО (освещение), АУПТ (спринклеры), ОВ — можно ли передать подрядчикам?</w:t>
      </w:r>
    </w:p>
    <w:p>
      <w:pPr>
        <w:numPr>
          <w:ilvl w:val="0"/>
          <w:numId w:val="1032"/>
        </w:numPr>
        <w:pStyle w:val="Compact"/>
      </w:pPr>
      <w:r>
        <w:t xml:space="preserve">Какие размеры мезонинов финальные (КМ: 93,8 × 17,35 и 92,9 × 11,35 м; план Триовист: ~87,45 × 16,86 и ~87,45 × 12,7 м)? Утверждена ли раскладка стеллажей?</w:t>
      </w:r>
    </w:p>
    <w:p>
      <w:pPr>
        <w:numPr>
          <w:ilvl w:val="0"/>
          <w:numId w:val="1032"/>
        </w:numPr>
        <w:pStyle w:val="Compact"/>
      </w:pPr>
      <w:r>
        <w:t xml:space="preserve">График строительства: когда будут готовы кровля/стены, мезонины, смонтированы стеллажи, подано постоянное электропитание?</w:t>
      </w:r>
    </w:p>
    <w:bookmarkEnd w:id="74"/>
    <w:bookmarkStart w:id="75" w:name="климат"/>
    <w:p>
      <w:pPr>
        <w:pStyle w:val="Heading3"/>
      </w:pPr>
      <w:r>
        <w:t xml:space="preserve">17.3. Климат</w:t>
      </w:r>
    </w:p>
    <w:p>
      <w:pPr>
        <w:numPr>
          <w:ilvl w:val="0"/>
          <w:numId w:val="1033"/>
        </w:numPr>
        <w:pStyle w:val="Compact"/>
      </w:pPr>
      <w:r>
        <w:t xml:space="preserve">Склад отапливаемый? Диапазон температур и влажности зимой/летом, запылённость. (Влияет на исполнение ТД, шкафов, ИБП.)</w:t>
      </w:r>
    </w:p>
    <w:bookmarkEnd w:id="75"/>
    <w:bookmarkStart w:id="76" w:name="мезонины-и-рабочие-места"/>
    <w:p>
      <w:pPr>
        <w:pStyle w:val="Heading3"/>
      </w:pPr>
      <w:r>
        <w:t xml:space="preserve">17.4. Мезонины и рабочие места</w:t>
      </w:r>
    </w:p>
    <w:p>
      <w:pPr>
        <w:numPr>
          <w:ilvl w:val="0"/>
          <w:numId w:val="1034"/>
        </w:numPr>
        <w:pStyle w:val="Compact"/>
      </w:pPr>
      <w:r>
        <w:t xml:space="preserve">Что будет на Мезонине 1 («платформа с надстройкой») и Мезонине 2 — офисы, зоны комплектации/упаковки? Что под мезонинами?</w:t>
      </w:r>
    </w:p>
    <w:p>
      <w:pPr>
        <w:numPr>
          <w:ilvl w:val="0"/>
          <w:numId w:val="1034"/>
        </w:numPr>
        <w:pStyle w:val="Compact"/>
      </w:pPr>
      <w:r>
        <w:t xml:space="preserve">Когда будет планировка рабочих мест на мезонинах? До неё ТЗ исходит из 20 + 20 мест по 2 порта. Тип розеток: настенные, в кабель-канале, в лючках пола или в мебели?</w:t>
      </w:r>
    </w:p>
    <w:p>
      <w:pPr>
        <w:numPr>
          <w:ilvl w:val="0"/>
          <w:numId w:val="1034"/>
        </w:numPr>
        <w:pStyle w:val="Compact"/>
      </w:pPr>
      <w:r>
        <w:t xml:space="preserve">Нужны ли точки на доках (рабочие места приёмки/отгрузки), у ворот, на площадке для брака, в помещении обогрева?</w:t>
      </w:r>
    </w:p>
    <w:bookmarkEnd w:id="76"/>
    <w:bookmarkStart w:id="77" w:name="товар"/>
    <w:p>
      <w:pPr>
        <w:pStyle w:val="Heading3"/>
      </w:pPr>
      <w:r>
        <w:t xml:space="preserve">17.5. Товар</w:t>
      </w:r>
    </w:p>
    <w:p>
      <w:pPr>
        <w:numPr>
          <w:ilvl w:val="0"/>
          <w:numId w:val="1035"/>
        </w:numPr>
        <w:pStyle w:val="Compact"/>
      </w:pPr>
      <w:r>
        <w:t xml:space="preserve">Какой товар хранится (жидкости, металл, бытовая техника, фольгированная упаковка)? Типичная заполненность стеллажей.</w:t>
      </w:r>
    </w:p>
    <w:bookmarkEnd w:id="77"/>
    <w:bookmarkStart w:id="78" w:name="прочие-проводные-устройства"/>
    <w:p>
      <w:pPr>
        <w:pStyle w:val="Heading3"/>
      </w:pPr>
      <w:r>
        <w:t xml:space="preserve">17.6. Прочие проводные устройства</w:t>
      </w:r>
    </w:p>
    <w:p>
      <w:pPr>
        <w:numPr>
          <w:ilvl w:val="0"/>
          <w:numId w:val="1036"/>
        </w:numPr>
        <w:pStyle w:val="Compact"/>
      </w:pPr>
      <w:r>
        <w:t xml:space="preserve">Будут ли сетевые принтеры этикеток, стационарные сканеры, зарядные станции ТСД с Ethernet, табло, IP‑телефоны? Примерное количество или только резерв портов? (Камеры и СКУД — вне объёма.)</w:t>
      </w:r>
    </w:p>
    <w:bookmarkEnd w:id="78"/>
    <w:bookmarkStart w:id="79" w:name="существующая-сеть-и-серверная"/>
    <w:p>
      <w:pPr>
        <w:pStyle w:val="Heading3"/>
      </w:pPr>
      <w:r>
        <w:t xml:space="preserve">17.7. Существующая сеть и серверная ★</w:t>
      </w:r>
    </w:p>
    <w:p>
      <w:pPr>
        <w:numPr>
          <w:ilvl w:val="0"/>
          <w:numId w:val="1037"/>
        </w:numPr>
        <w:pStyle w:val="Compact"/>
      </w:pPr>
      <w:r>
        <w:t xml:space="preserve">Модели и версия ПО коммутаторов ядра Huawei; свободные оптические порты и модули (10G/25G); тип оптических кроссов и разъёмов (LC/SC, UPC/APC).</w:t>
      </w:r>
    </w:p>
    <w:p>
      <w:pPr>
        <w:numPr>
          <w:ilvl w:val="0"/>
          <w:numId w:val="1037"/>
        </w:numPr>
        <w:pStyle w:val="Compact"/>
      </w:pPr>
      <w:r>
        <w:t xml:space="preserve">Сколько коммутаторов в ядре: можно ли подключить ВОЛС‑1 и ВОЛС‑2 к разным коммутаторам? Есть ли в серверной резервное питание (ИБП/ДГУ)?</w:t>
      </w:r>
    </w:p>
    <w:p>
      <w:pPr>
        <w:numPr>
          <w:ilvl w:val="0"/>
          <w:numId w:val="1037"/>
        </w:numPr>
        <w:pStyle w:val="Compact"/>
      </w:pPr>
      <w:r>
        <w:t xml:space="preserve">Где именно в основном складе серверная, есть ли свободные лотки до стены с новым корпусом? (Подрядчик уточнит на обследовании, но заказчику нужно организовать доступ.)</w:t>
      </w:r>
    </w:p>
    <w:bookmarkEnd w:id="79"/>
    <w:bookmarkStart w:id="80" w:name="поставка"/>
    <w:p>
      <w:pPr>
        <w:pStyle w:val="Heading3"/>
      </w:pPr>
      <w:r>
        <w:t xml:space="preserve">17.8. Поставка</w:t>
      </w:r>
    </w:p>
    <w:p>
      <w:pPr>
        <w:numPr>
          <w:ilvl w:val="0"/>
          <w:numId w:val="1038"/>
        </w:numPr>
        <w:pStyle w:val="Compact"/>
      </w:pPr>
      <w:r>
        <w:t xml:space="preserve">Кто поставляет активное оборудование Huawei — подрядчик или заказчик (в КП запрошены оба варианта)?</w:t>
      </w:r>
    </w:p>
    <w:bookmarkEnd w:id="80"/>
    <w:bookmarkStart w:id="81" w:name="Xcad981ee5261005446b4810b8f01013f40249d0"/>
    <w:p>
      <w:pPr>
        <w:pStyle w:val="Heading3"/>
      </w:pPr>
      <w:r>
        <w:t xml:space="preserve">17.9. Электропитание (к ГИП, после проектирования ЛВС)</w:t>
      </w:r>
    </w:p>
    <w:p>
      <w:pPr>
        <w:numPr>
          <w:ilvl w:val="0"/>
          <w:numId w:val="1039"/>
        </w:numPr>
        <w:pStyle w:val="Compact"/>
      </w:pPr>
      <w:r>
        <w:t xml:space="preserve">Подтвердить у ГИП: линии питания к ТШ входят в проект электроснабжения и в объём электромонтажной организации; есть ли в новом корпусе гарантированное питание (ДГУ). Задание на нагрузки нужно передать ГИП до завершения электромонтажа.</w:t>
      </w:r>
    </w:p>
    <w:p>
      <w:pPr>
        <w:numPr>
          <w:ilvl w:val="0"/>
          <w:numId w:val="1039"/>
        </w:numPr>
        <w:pStyle w:val="Compact"/>
      </w:pPr>
      <w:r>
        <w:t xml:space="preserve">Требуемая автономность ИБП (сколько минут сеть должна работать без электросети); в ТЗ пока заложено 30 минут.</w:t>
      </w:r>
    </w:p>
    <w:bookmarkEnd w:id="81"/>
    <w:bookmarkStart w:id="82" w:name="пожарная-безопасность-к-гип"/>
    <w:p>
      <w:pPr>
        <w:pStyle w:val="Heading3"/>
      </w:pPr>
      <w:r>
        <w:t xml:space="preserve">17.10. Пожарная безопасность (к ГИП)</w:t>
      </w:r>
    </w:p>
    <w:p>
      <w:pPr>
        <w:numPr>
          <w:ilvl w:val="0"/>
          <w:numId w:val="1040"/>
        </w:numPr>
        <w:pStyle w:val="Compact"/>
      </w:pPr>
      <w:r>
        <w:t xml:space="preserve">Является ли стена между корпусами противопожарной? Требования к огнезащите проходок, кто согласует.</w:t>
      </w:r>
    </w:p>
    <w:bookmarkEnd w:id="82"/>
    <w:bookmarkStart w:id="83" w:name="X54162b0b5faa12e885c049c2b644ad0ab9dad26"/>
    <w:p>
      <w:pPr>
        <w:pStyle w:val="Heading3"/>
      </w:pPr>
      <w:r>
        <w:t xml:space="preserve">17.11. Контроллер Wi‑Fi, управление и безопасность ★</w:t>
      </w:r>
    </w:p>
    <w:p>
      <w:pPr>
        <w:numPr>
          <w:ilvl w:val="0"/>
          <w:numId w:val="1041"/>
        </w:numPr>
        <w:pStyle w:val="Compact"/>
      </w:pPr>
      <w:r>
        <w:t xml:space="preserve">Модель коммутатора-контроллера и версия ПО; сколько ТД к нему уже подключено и сколько лицензий ТД свободно?</w:t>
      </w:r>
    </w:p>
    <w:p>
      <w:pPr>
        <w:numPr>
          <w:ilvl w:val="0"/>
          <w:numId w:val="1041"/>
        </w:numPr>
        <w:pStyle w:val="Compact"/>
      </w:pPr>
      <w:r>
        <w:t xml:space="preserve">Есть ли резервирование контроллера сейчас? Нужно ли оно (опция в КП)?</w:t>
      </w:r>
    </w:p>
    <w:p>
      <w:pPr>
        <w:numPr>
          <w:ilvl w:val="0"/>
          <w:numId w:val="1041"/>
        </w:numPr>
        <w:pStyle w:val="Compact"/>
      </w:pPr>
      <w:r>
        <w:t xml:space="preserve">Есть ли RADIUS/каталог (AD/LDAP) для 802.1X?</w:t>
      </w:r>
    </w:p>
    <w:p>
      <w:pPr>
        <w:numPr>
          <w:ilvl w:val="0"/>
          <w:numId w:val="1041"/>
        </w:numPr>
        <w:pStyle w:val="Compact"/>
      </w:pPr>
      <w:r>
        <w:t xml:space="preserve">Какая система мониторинга/управления сетью используется (Huawei eSight/iMaster NCE, Zabbix и т.п.)?</w:t>
      </w:r>
    </w:p>
    <w:bookmarkEnd w:id="83"/>
    <w:bookmarkStart w:id="84" w:name="бюджет-сроки-закупка"/>
    <w:p>
      <w:pPr>
        <w:pStyle w:val="Heading3"/>
      </w:pPr>
      <w:r>
        <w:t xml:space="preserve">17.12. Бюджет, сроки, закупка ★</w:t>
      </w:r>
    </w:p>
    <w:p>
      <w:pPr>
        <w:numPr>
          <w:ilvl w:val="0"/>
          <w:numId w:val="1042"/>
        </w:numPr>
        <w:pStyle w:val="Compact"/>
      </w:pPr>
      <w:r>
        <w:t xml:space="preserve">Ориентировочный бюджет (или диапазон) на проект.</w:t>
      </w:r>
    </w:p>
    <w:p>
      <w:pPr>
        <w:numPr>
          <w:ilvl w:val="0"/>
          <w:numId w:val="1042"/>
        </w:numPr>
        <w:pStyle w:val="Compact"/>
      </w:pPr>
      <w:r>
        <w:t xml:space="preserve">Желаемая дата запуска склада; к какому сроку нужна сеть.</w:t>
      </w:r>
    </w:p>
    <w:p>
      <w:pPr>
        <w:numPr>
          <w:ilvl w:val="0"/>
          <w:numId w:val="1042"/>
        </w:numPr>
        <w:pStyle w:val="Compact"/>
      </w:pPr>
      <w:r>
        <w:t xml:space="preserve">Процедура закупки: сколько подрядчиков приглашать, срок подачи КП, критерии выбора (цена/опыт/сроки), форма договора.</w:t>
      </w:r>
    </w:p>
    <w:p>
      <w:pPr>
        <w:numPr>
          <w:ilvl w:val="0"/>
          <w:numId w:val="1042"/>
        </w:numPr>
        <w:pStyle w:val="Compact"/>
      </w:pPr>
      <w:r>
        <w:t xml:space="preserve">Нужен ли предпроектный этап (радиообследование этапа 1) отдельным договором до выбора основного подрядчика?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приложения"/>
    <w:p>
      <w:pPr>
        <w:pStyle w:val="Heading2"/>
      </w:pPr>
      <w:r>
        <w:t xml:space="preserve">Приложения</w:t>
      </w:r>
    </w:p>
    <w:p>
      <w:pPr>
        <w:numPr>
          <w:ilvl w:val="0"/>
          <w:numId w:val="1043"/>
        </w:numPr>
        <w:pStyle w:val="Compact"/>
      </w:pPr>
      <w:r>
        <w:t xml:space="preserve">Приложение А. Исходные чертежи (передаются отдельными файлами):</w:t>
      </w:r>
      <w:r>
        <w:t xml:space="preserve"> </w:t>
      </w:r>
      <w:r>
        <w:rPr>
          <w:rStyle w:val="VerbatimChar"/>
        </w:rPr>
        <w:t xml:space="preserve">sklad-obshaya-shema.pdf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triovist-frontalnye-22.04.2026-(1)-model-6.pdf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triovist-frontalnye-22.04.2026-(2)-model-3.pdf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triovist-frontalnye-22.04.2026-(1)(4).dwg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t xml:space="preserve">Приложение Б. Эскиз размещения ТШ и трасс ВОЛС:</w:t>
      </w:r>
      <w:r>
        <w:t xml:space="preserve"> </w:t>
      </w:r>
      <w:r>
        <w:rPr>
          <w:rStyle w:val="VerbatimChar"/>
        </w:rPr>
        <w:t xml:space="preserve">media/eskiz-shkafy-trassy.png</w:t>
      </w:r>
      <w:r>
        <w:t xml:space="preserve"> </w:t>
      </w:r>
      <w:r>
        <w:t xml:space="preserve">(условно, см. п. 3.5).</w:t>
      </w:r>
    </w:p>
    <w:bookmarkEnd w:id="86"/>
    <w:bookmarkEnd w:id="8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8">
    <w:nsid w:val="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1">
    <w:nsid w:val="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abstractNum w:abstractNumId="994122">
    <w:nsid w:val="A994122"/>
    <w:multiLevelType w:val="multilevel"/>
    <w:lvl w:ilvl="0">
      <w:start w:val="22"/>
      <w:numFmt w:val="decimal"/>
      <w:lvlText w:val="%1."/>
      <w:lvlJc w:val="left"/>
      <w:pPr>
        <w:ind w:left="720" w:hanging="480"/>
      </w:pPr>
    </w:lvl>
    <w:lvl w:ilvl="1">
      <w:start w:val="22"/>
      <w:numFmt w:val="decimal"/>
      <w:lvlText w:val="%2."/>
      <w:lvlJc w:val="left"/>
      <w:pPr>
        <w:ind w:left="1440" w:hanging="480"/>
      </w:pPr>
    </w:lvl>
    <w:lvl w:ilvl="2">
      <w:start w:val="22"/>
      <w:numFmt w:val="decimal"/>
      <w:lvlText w:val="%3."/>
      <w:lvlJc w:val="left"/>
      <w:pPr>
        <w:ind w:left="2160" w:hanging="480"/>
      </w:pPr>
    </w:lvl>
    <w:lvl w:ilvl="3">
      <w:start w:val="22"/>
      <w:numFmt w:val="decimal"/>
      <w:lvlText w:val="%4."/>
      <w:lvlJc w:val="left"/>
      <w:pPr>
        <w:ind w:left="2880" w:hanging="480"/>
      </w:pPr>
    </w:lvl>
    <w:lvl w:ilvl="4">
      <w:start w:val="22"/>
      <w:numFmt w:val="decimal"/>
      <w:lvlText w:val="%5."/>
      <w:lvlJc w:val="left"/>
      <w:pPr>
        <w:ind w:left="3600" w:hanging="480"/>
      </w:pPr>
    </w:lvl>
    <w:lvl w:ilvl="5">
      <w:start w:val="22"/>
      <w:numFmt w:val="decimal"/>
      <w:lvlText w:val="%6."/>
      <w:lvlJc w:val="left"/>
      <w:pPr>
        <w:ind w:left="4320" w:hanging="480"/>
      </w:pPr>
    </w:lvl>
    <w:lvl w:ilvl="6">
      <w:start w:val="22"/>
      <w:numFmt w:val="decimal"/>
      <w:lvlText w:val="%7."/>
      <w:lvlJc w:val="left"/>
      <w:pPr>
        <w:ind w:left="5040" w:hanging="480"/>
      </w:pPr>
    </w:lvl>
    <w:lvl w:ilvl="7">
      <w:start w:val="22"/>
      <w:numFmt w:val="decimal"/>
      <w:lvlText w:val="%8."/>
      <w:lvlJc w:val="left"/>
      <w:pPr>
        <w:ind w:left="5760" w:hanging="480"/>
      </w:pPr>
    </w:lvl>
    <w:lvl w:ilvl="8">
      <w:start w:val="22"/>
      <w:numFmt w:val="decimal"/>
      <w:lvlText w:val="%9."/>
      <w:lvlJc w:val="left"/>
      <w:pPr>
        <w:ind w:left="6480" w:hanging="480"/>
      </w:pPr>
    </w:lvl>
  </w:abstractNum>
  <w:abstractNum w:abstractNumId="994126">
    <w:nsid w:val="A994126"/>
    <w:multiLevelType w:val="multilevel"/>
    <w:lvl w:ilvl="0">
      <w:start w:val="26"/>
      <w:numFmt w:val="decimal"/>
      <w:lvlText w:val="%1."/>
      <w:lvlJc w:val="left"/>
      <w:pPr>
        <w:ind w:left="720" w:hanging="480"/>
      </w:pPr>
    </w:lvl>
    <w:lvl w:ilvl="1">
      <w:start w:val="26"/>
      <w:numFmt w:val="decimal"/>
      <w:lvlText w:val="%2."/>
      <w:lvlJc w:val="left"/>
      <w:pPr>
        <w:ind w:left="1440" w:hanging="480"/>
      </w:pPr>
    </w:lvl>
    <w:lvl w:ilvl="2">
      <w:start w:val="26"/>
      <w:numFmt w:val="decimal"/>
      <w:lvlText w:val="%3."/>
      <w:lvlJc w:val="left"/>
      <w:pPr>
        <w:ind w:left="2160" w:hanging="480"/>
      </w:pPr>
    </w:lvl>
    <w:lvl w:ilvl="3">
      <w:start w:val="26"/>
      <w:numFmt w:val="decimal"/>
      <w:lvlText w:val="%4."/>
      <w:lvlJc w:val="left"/>
      <w:pPr>
        <w:ind w:left="2880" w:hanging="480"/>
      </w:pPr>
    </w:lvl>
    <w:lvl w:ilvl="4">
      <w:start w:val="26"/>
      <w:numFmt w:val="decimal"/>
      <w:lvlText w:val="%5."/>
      <w:lvlJc w:val="left"/>
      <w:pPr>
        <w:ind w:left="3600" w:hanging="480"/>
      </w:pPr>
    </w:lvl>
    <w:lvl w:ilvl="5">
      <w:start w:val="26"/>
      <w:numFmt w:val="decimal"/>
      <w:lvlText w:val="%6."/>
      <w:lvlJc w:val="left"/>
      <w:pPr>
        <w:ind w:left="4320" w:hanging="480"/>
      </w:pPr>
    </w:lvl>
    <w:lvl w:ilvl="6">
      <w:start w:val="26"/>
      <w:numFmt w:val="decimal"/>
      <w:lvlText w:val="%7."/>
      <w:lvlJc w:val="left"/>
      <w:pPr>
        <w:ind w:left="5040" w:hanging="480"/>
      </w:pPr>
    </w:lvl>
    <w:lvl w:ilvl="7">
      <w:start w:val="26"/>
      <w:numFmt w:val="decimal"/>
      <w:lvlText w:val="%8."/>
      <w:lvlJc w:val="left"/>
      <w:pPr>
        <w:ind w:left="5760" w:hanging="480"/>
      </w:pPr>
    </w:lvl>
    <w:lvl w:ilvl="8">
      <w:start w:val="2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3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3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36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3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38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39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40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41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42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ru-RU</dc:language>
  <cp:keywords/>
  <dcterms:created xsi:type="dcterms:W3CDTF">2026-09-27T20:54:12Z</dcterms:created>
  <dcterms:modified xsi:type="dcterms:W3CDTF">2026-09-27T20:54:12Z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Содержание</vt:lpwstr>
  </property>
</Properties>
</file>